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385E9F">
      <w:pPr>
        <w:pStyle w:val="2"/>
        <w:bidi w:val="0"/>
        <w:ind w:left="0" w:leftChars="0" w:firstLine="0" w:firstLineChars="0"/>
        <w:jc w:val="center"/>
        <w:rPr>
          <w:rFonts w:hint="eastAsia" w:ascii="方正小标宋简体" w:hAnsi="方正小标宋简体" w:eastAsia="方正小标宋简体" w:cs="方正小标宋简体"/>
          <w:sz w:val="44"/>
          <w:szCs w:val="44"/>
          <w:lang w:val="en-US" w:eastAsia="zh-CN"/>
        </w:rPr>
      </w:pPr>
      <w:bookmarkStart w:id="0" w:name="_Toc21916"/>
      <w:bookmarkStart w:id="1" w:name="_Toc22653"/>
      <w:bookmarkStart w:id="2" w:name="_Toc2393"/>
    </w:p>
    <w:p w14:paraId="2B165796">
      <w:pPr>
        <w:pStyle w:val="2"/>
        <w:bidi w:val="0"/>
        <w:ind w:left="0" w:leftChars="0" w:firstLine="0" w:firstLineChars="0"/>
        <w:jc w:val="center"/>
        <w:rPr>
          <w:rFonts w:hint="eastAsia" w:ascii="方正小标宋简体" w:hAnsi="方正小标宋简体" w:eastAsia="方正小标宋简体" w:cs="方正小标宋简体"/>
          <w:sz w:val="44"/>
          <w:szCs w:val="44"/>
          <w:lang w:val="en-US" w:eastAsia="zh-CN"/>
        </w:rPr>
      </w:pPr>
    </w:p>
    <w:p w14:paraId="5EDC6757">
      <w:pPr>
        <w:pStyle w:val="2"/>
        <w:bidi w:val="0"/>
        <w:ind w:left="0" w:leftChars="0" w:firstLine="0" w:firstLineChars="0"/>
        <w:jc w:val="center"/>
        <w:rPr>
          <w:rFonts w:hint="eastAsia" w:ascii="方正小标宋简体" w:hAnsi="方正小标宋简体" w:eastAsia="方正小标宋简体" w:cs="方正小标宋简体"/>
          <w:sz w:val="44"/>
          <w:szCs w:val="44"/>
          <w:lang w:val="en-US" w:eastAsia="zh-CN"/>
        </w:rPr>
      </w:pPr>
    </w:p>
    <w:p w14:paraId="13E3552E">
      <w:pPr>
        <w:keepNext w:val="0"/>
        <w:keepLines w:val="0"/>
        <w:pageBreakBefore w:val="0"/>
        <w:kinsoku/>
        <w:wordWrap/>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14:paraId="4B1B495A">
      <w:pPr>
        <w:keepNext w:val="0"/>
        <w:keepLines w:val="0"/>
        <w:pageBreakBefore w:val="0"/>
        <w:kinsoku/>
        <w:wordWrap/>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14:paraId="2090FE8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p>
    <w:p w14:paraId="699F4F1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p>
    <w:p w14:paraId="360A0697">
      <w:pPr>
        <w:keepNext w:val="0"/>
        <w:keepLines w:val="0"/>
        <w:pageBreakBefore w:val="0"/>
        <w:widowControl w:val="0"/>
        <w:kinsoku/>
        <w:wordWrap/>
        <w:overflowPunct/>
        <w:topLinePunct w:val="0"/>
        <w:autoSpaceDE/>
        <w:autoSpaceDN/>
        <w:bidi w:val="0"/>
        <w:adjustRightInd/>
        <w:snapToGrid/>
        <w:spacing w:after="313" w:afterLines="100" w:line="500" w:lineRule="exact"/>
        <w:jc w:val="center"/>
        <w:textAlignment w:val="auto"/>
        <w:rPr>
          <w:rFonts w:hint="eastAsia" w:ascii="仿宋_GB2312" w:hAnsi="仿宋_GB2312" w:eastAsia="仿宋_GB2312" w:cs="仿宋_GB2312"/>
          <w:sz w:val="32"/>
          <w:szCs w:val="32"/>
          <w:lang w:val="en-US" w:eastAsia="zh-CN"/>
        </w:rPr>
      </w:pPr>
    </w:p>
    <w:p w14:paraId="033F9FE8">
      <w:pPr>
        <w:keepNext w:val="0"/>
        <w:keepLines w:val="0"/>
        <w:pageBreakBefore w:val="0"/>
        <w:kinsoku/>
        <w:wordWrap/>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广政办发〔2025〕1号</w:t>
      </w:r>
    </w:p>
    <w:p w14:paraId="156EA72F">
      <w:pPr>
        <w:keepNext w:val="0"/>
        <w:keepLines w:val="0"/>
        <w:pageBreakBefore w:val="0"/>
        <w:kinsoku/>
        <w:wordWrap/>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2"/>
          <w:szCs w:val="32"/>
          <w:lang w:val="en-US" w:eastAsia="zh-CN"/>
        </w:rPr>
      </w:pPr>
    </w:p>
    <w:p w14:paraId="65FC4CA9">
      <w:pPr>
        <w:keepNext w:val="0"/>
        <w:keepLines w:val="0"/>
        <w:pageBreakBefore w:val="0"/>
        <w:widowControl w:val="0"/>
        <w:kinsoku/>
        <w:wordWrap/>
        <w:overflowPunct w:val="0"/>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广灵县人民政府办公室</w:t>
      </w:r>
    </w:p>
    <w:p w14:paraId="22A44955">
      <w:pPr>
        <w:keepNext w:val="0"/>
        <w:keepLines w:val="0"/>
        <w:pageBreakBefore w:val="0"/>
        <w:widowControl w:val="0"/>
        <w:kinsoku/>
        <w:wordWrap/>
        <w:overflowPunct w:val="0"/>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关于印发《广灵县突发公共安全事件通信</w:t>
      </w:r>
    </w:p>
    <w:p w14:paraId="0653A5D9">
      <w:pPr>
        <w:keepNext w:val="0"/>
        <w:keepLines w:val="0"/>
        <w:pageBreakBefore w:val="0"/>
        <w:widowControl w:val="0"/>
        <w:kinsoku/>
        <w:wordWrap/>
        <w:overflowPunct w:val="0"/>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32"/>
          <w:szCs w:val="32"/>
          <w:lang w:val="en-US" w:eastAsia="zh-CN"/>
        </w:rPr>
      </w:pPr>
      <w:r>
        <w:rPr>
          <w:rFonts w:hint="eastAsia" w:ascii="方正小标宋_GBK" w:hAnsi="方正小标宋_GBK" w:eastAsia="方正小标宋_GBK" w:cs="方正小标宋_GBK"/>
          <w:sz w:val="44"/>
          <w:szCs w:val="44"/>
          <w:lang w:val="en-US" w:eastAsia="zh-CN"/>
        </w:rPr>
        <w:t>保障应急预案》的通知</w:t>
      </w:r>
    </w:p>
    <w:p w14:paraId="21A6189D">
      <w:pPr>
        <w:keepNext w:val="0"/>
        <w:keepLines w:val="0"/>
        <w:pageBreakBefore w:val="0"/>
        <w:kinsoku/>
        <w:wordWrap/>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2"/>
          <w:szCs w:val="32"/>
          <w:lang w:val="en-US" w:eastAsia="zh-CN"/>
        </w:rPr>
      </w:pPr>
    </w:p>
    <w:p w14:paraId="2563CD09">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各乡（镇）人民政府、县直各部门：</w:t>
      </w:r>
    </w:p>
    <w:p w14:paraId="09CFDF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经县政府同意，现将《广灵县突发公共安全事件通信保障应急预案》印发给你们，请结合实际认真落实。</w:t>
      </w:r>
    </w:p>
    <w:p w14:paraId="0C15977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14:paraId="4B2795D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14:paraId="3414B27D">
      <w:pPr>
        <w:keepNext w:val="0"/>
        <w:keepLines w:val="0"/>
        <w:pageBreakBefore w:val="0"/>
        <w:widowControl w:val="0"/>
        <w:kinsoku/>
        <w:wordWrap w:val="0"/>
        <w:overflowPunct/>
        <w:topLinePunct w:val="0"/>
        <w:autoSpaceDE/>
        <w:autoSpaceDN/>
        <w:bidi w:val="0"/>
        <w:adjustRightInd/>
        <w:snapToGrid/>
        <w:spacing w:line="560" w:lineRule="exact"/>
        <w:ind w:left="0" w:leftChars="0" w:firstLine="0" w:firstLineChars="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广灵县人民政府办公室        </w:t>
      </w:r>
    </w:p>
    <w:p w14:paraId="3D94DD7C">
      <w:pPr>
        <w:keepNext w:val="0"/>
        <w:keepLines w:val="0"/>
        <w:pageBreakBefore w:val="0"/>
        <w:widowControl w:val="0"/>
        <w:kinsoku/>
        <w:wordWrap w:val="0"/>
        <w:overflowPunct/>
        <w:topLinePunct w:val="0"/>
        <w:autoSpaceDE/>
        <w:autoSpaceDN/>
        <w:bidi w:val="0"/>
        <w:adjustRightInd/>
        <w:snapToGrid/>
        <w:spacing w:line="560" w:lineRule="exact"/>
        <w:ind w:left="0" w:leftChars="0" w:firstLine="0" w:firstLineChars="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2025年1月17日          </w:t>
      </w:r>
    </w:p>
    <w:p w14:paraId="1F3C52A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（此件公开发布）</w:t>
      </w:r>
    </w:p>
    <w:p w14:paraId="1E07A8D8">
      <w:pPr>
        <w:keepNext w:val="0"/>
        <w:keepLines w:val="0"/>
        <w:pageBreakBefore w:val="0"/>
        <w:kinsoku/>
        <w:wordWrap/>
        <w:topLinePunct w:val="0"/>
        <w:autoSpaceDE/>
        <w:autoSpaceDN/>
        <w:bidi w:val="0"/>
        <w:adjustRightInd/>
        <w:snapToGrid/>
        <w:spacing w:line="560" w:lineRule="exact"/>
        <w:jc w:val="left"/>
        <w:textAlignment w:val="auto"/>
        <w:rPr>
          <w:rFonts w:hint="default" w:ascii="方正小标宋简体" w:hAnsi="方正小标宋简体" w:eastAsia="方正小标宋简体" w:cs="方正小标宋简体"/>
          <w:sz w:val="32"/>
          <w:szCs w:val="32"/>
          <w:lang w:val="en-US" w:eastAsia="zh-CN"/>
        </w:rPr>
      </w:pPr>
      <w:r>
        <w:rPr>
          <w:rFonts w:hint="default" w:ascii="方正小标宋简体" w:hAnsi="方正小标宋简体" w:eastAsia="方正小标宋简体" w:cs="方正小标宋简体"/>
          <w:sz w:val="32"/>
          <w:szCs w:val="32"/>
          <w:lang w:val="en-US" w:eastAsia="zh-CN"/>
        </w:rPr>
        <w:drawing>
          <wp:anchor distT="0" distB="0" distL="114300" distR="114300" simplePos="0" relativeHeight="251665408" behindDoc="0" locked="0" layoutInCell="1" allowOverlap="1">
            <wp:simplePos x="0" y="0"/>
            <wp:positionH relativeFrom="column">
              <wp:posOffset>4645660</wp:posOffset>
            </wp:positionH>
            <wp:positionV relativeFrom="paragraph">
              <wp:posOffset>571500</wp:posOffset>
            </wp:positionV>
            <wp:extent cx="852170" cy="603885"/>
            <wp:effectExtent l="0" t="0" r="635" b="635"/>
            <wp:wrapNone/>
            <wp:docPr id="4" name="图片 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1"/>
                    <pic:cNvPicPr>
                      <a:picLocks noChangeAspect="1"/>
                    </pic:cNvPicPr>
                  </pic:nvPicPr>
                  <pic:blipFill>
                    <a:blip r:embed="rId5"/>
                    <a:stretch>
                      <a:fillRect/>
                    </a:stretch>
                  </pic:blipFill>
                  <pic:spPr>
                    <a:xfrm>
                      <a:off x="0" y="0"/>
                      <a:ext cx="852170" cy="603885"/>
                    </a:xfrm>
                    <a:prstGeom prst="rect">
                      <a:avLst/>
                    </a:prstGeom>
                  </pic:spPr>
                </pic:pic>
              </a:graphicData>
            </a:graphic>
          </wp:anchor>
        </w:drawing>
      </w:r>
    </w:p>
    <w:p w14:paraId="606E33A0">
      <w:pPr>
        <w:pStyle w:val="2"/>
        <w:bidi w:val="0"/>
        <w:ind w:left="0" w:leftChars="0" w:firstLine="0" w:firstLineChars="0"/>
        <w:jc w:val="center"/>
        <w:rPr>
          <w:rFonts w:hint="eastAsia" w:ascii="方正小标宋简体" w:hAnsi="方正小标宋简体" w:eastAsia="方正小标宋简体" w:cs="方正小标宋简体"/>
          <w:sz w:val="44"/>
          <w:szCs w:val="44"/>
          <w:lang w:val="en-US" w:eastAsia="zh-CN"/>
        </w:rPr>
      </w:pPr>
    </w:p>
    <w:p w14:paraId="6A993A38">
      <w:pPr>
        <w:pStyle w:val="2"/>
        <w:bidi w:val="0"/>
        <w:ind w:left="0" w:leftChars="0" w:firstLine="0" w:firstLineChars="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广灵县突发公共安全事件通信保障</w:t>
      </w:r>
    </w:p>
    <w:p w14:paraId="3F10F39A">
      <w:pPr>
        <w:pStyle w:val="2"/>
        <w:bidi w:val="0"/>
        <w:ind w:left="0" w:leftChars="0" w:firstLine="0" w:firstLineChars="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应急预案</w:t>
      </w:r>
    </w:p>
    <w:p w14:paraId="07113C37">
      <w:pPr>
        <w:pStyle w:val="2"/>
        <w:bidi w:val="0"/>
        <w:rPr>
          <w:rFonts w:hint="eastAsia"/>
        </w:rPr>
      </w:pPr>
    </w:p>
    <w:p w14:paraId="4D19880A">
      <w:pPr>
        <w:pStyle w:val="2"/>
        <w:keepNext w:val="0"/>
        <w:keepLines w:val="0"/>
        <w:pageBreakBefore w:val="0"/>
        <w:widowControl w:val="0"/>
        <w:kinsoku/>
        <w:wordWrap/>
        <w:overflowPunct w:val="0"/>
        <w:topLinePunct w:val="0"/>
        <w:autoSpaceDE/>
        <w:autoSpaceDN/>
        <w:bidi w:val="0"/>
        <w:adjustRightInd/>
        <w:snapToGrid/>
        <w:jc w:val="both"/>
        <w:textAlignment w:val="auto"/>
        <w:rPr>
          <w:rFonts w:hint="eastAsia"/>
        </w:rPr>
      </w:pPr>
      <w:r>
        <w:rPr>
          <w:rFonts w:hint="eastAsia"/>
        </w:rPr>
        <w:t>1 总则</w:t>
      </w:r>
      <w:bookmarkEnd w:id="0"/>
      <w:bookmarkEnd w:id="1"/>
      <w:bookmarkEnd w:id="2"/>
    </w:p>
    <w:p w14:paraId="08505146">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3" w:name="_Toc5947"/>
      <w:bookmarkStart w:id="4" w:name="_Toc31485"/>
      <w:bookmarkStart w:id="5" w:name="_Toc7918"/>
      <w:r>
        <w:rPr>
          <w:rFonts w:hint="eastAsia"/>
        </w:rPr>
        <w:t>1.1编制目的</w:t>
      </w:r>
      <w:bookmarkEnd w:id="3"/>
      <w:bookmarkEnd w:id="4"/>
      <w:bookmarkEnd w:id="5"/>
    </w:p>
    <w:p w14:paraId="50BA9B5B">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建立健全</w:t>
      </w:r>
      <w:r>
        <w:rPr>
          <w:rFonts w:hint="eastAsia" w:ascii="CESI仿宋-GB2312" w:hAnsi="CESI仿宋-GB2312" w:eastAsia="CESI仿宋-GB2312" w:cs="CESI仿宋-GB2312"/>
          <w:i w:val="0"/>
          <w:caps w:val="0"/>
          <w:color w:val="000000" w:themeColor="text1"/>
          <w:spacing w:val="0"/>
          <w:sz w:val="32"/>
          <w:szCs w:val="32"/>
          <w:shd w:val="clear" w:fill="FFFFFF"/>
          <w:lang w:val="en-US" w:eastAsia="zh-CN"/>
          <w14:textFill>
            <w14:solidFill>
              <w14:schemeClr w14:val="tx1"/>
            </w14:solidFill>
          </w14:textFill>
        </w:rPr>
        <w:t>广灵</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县通信保障（含通信恢复，下同）应急工作机制，满足突发情况下通信保障工作需要，确保通信安全畅通。</w:t>
      </w:r>
    </w:p>
    <w:p w14:paraId="35AFD209">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6" w:name="_Toc31603"/>
      <w:bookmarkStart w:id="7" w:name="_Toc26742"/>
      <w:bookmarkStart w:id="8" w:name="_Toc21980"/>
      <w:r>
        <w:rPr>
          <w:rFonts w:hint="eastAsia"/>
        </w:rPr>
        <w:t>1.2编制依据</w:t>
      </w:r>
      <w:bookmarkEnd w:id="6"/>
      <w:bookmarkEnd w:id="7"/>
      <w:bookmarkEnd w:id="8"/>
    </w:p>
    <w:p w14:paraId="24E75AC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依据《中华人民共和国突发事件应对法</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中华人民共和国电信条例</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中华人民共和国无线电管理条例》和《国家通信保障应急预案》以及《</w:t>
      </w:r>
      <w:r>
        <w:rPr>
          <w:rFonts w:hint="eastAsia" w:ascii="CESI仿宋-GB2312" w:hAnsi="CESI仿宋-GB2312" w:eastAsia="CESI仿宋-GB2312" w:cs="CESI仿宋-GB2312"/>
          <w:i w:val="0"/>
          <w:caps w:val="0"/>
          <w:color w:val="000000" w:themeColor="text1"/>
          <w:spacing w:val="0"/>
          <w:sz w:val="32"/>
          <w:szCs w:val="32"/>
          <w:shd w:val="clear" w:fill="FFFFFF"/>
          <w:lang w:val="en-US" w:eastAsia="zh-CN"/>
          <w14:textFill>
            <w14:solidFill>
              <w14:schemeClr w14:val="tx1"/>
            </w14:solidFill>
          </w14:textFill>
        </w:rPr>
        <w:t>山西</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省人民政府突发公共事件总体应急预案》等有关法律法规和规章制度。</w:t>
      </w:r>
    </w:p>
    <w:p w14:paraId="3DF6B8FB">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9" w:name="_Toc27727"/>
      <w:bookmarkStart w:id="10" w:name="_Toc9963"/>
      <w:bookmarkStart w:id="11" w:name="_Toc20423"/>
      <w:r>
        <w:rPr>
          <w:rFonts w:hint="eastAsia"/>
        </w:rPr>
        <w:t>1.3适用范围</w:t>
      </w:r>
      <w:bookmarkEnd w:id="9"/>
      <w:bookmarkEnd w:id="10"/>
      <w:bookmarkEnd w:id="11"/>
    </w:p>
    <w:p w14:paraId="4BE3164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本预案适用于需要县政府或县政府授权有关部门协调的通信中断、突发事件通信保障应急工作，以及县委和县政府交办的其他重要通信保障任务。</w:t>
      </w:r>
    </w:p>
    <w:p w14:paraId="73068A6B">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本预案指导</w:t>
      </w:r>
      <w:r>
        <w:rPr>
          <w:rFonts w:hint="eastAsia" w:ascii="CESI仿宋-GB2312" w:hAnsi="CESI仿宋-GB2312" w:eastAsia="CESI仿宋-GB2312" w:cs="CESI仿宋-GB2312"/>
          <w:i w:val="0"/>
          <w:caps w:val="0"/>
          <w:color w:val="000000" w:themeColor="text1"/>
          <w:spacing w:val="0"/>
          <w:sz w:val="32"/>
          <w:szCs w:val="32"/>
          <w:shd w:val="clear" w:fill="FFFFFF"/>
          <w:lang w:val="en-US" w:eastAsia="zh-CN"/>
          <w14:textFill>
            <w14:solidFill>
              <w14:schemeClr w14:val="tx1"/>
            </w14:solidFill>
          </w14:textFill>
        </w:rPr>
        <w:t>广灵</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县通信保障应急工作。</w:t>
      </w:r>
    </w:p>
    <w:p w14:paraId="68146F66">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12" w:name="_Toc1687"/>
      <w:bookmarkStart w:id="13" w:name="_Toc23141"/>
      <w:bookmarkStart w:id="14" w:name="_Toc4117"/>
      <w:r>
        <w:rPr>
          <w:rFonts w:hint="eastAsia"/>
        </w:rPr>
        <w:t>1.4工作原则</w:t>
      </w:r>
      <w:bookmarkEnd w:id="12"/>
      <w:bookmarkEnd w:id="13"/>
      <w:bookmarkEnd w:id="14"/>
    </w:p>
    <w:p w14:paraId="3F92275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在县委、县政府领导下，通信保障工作坚持统一领导、分级负责，属地为主、快速反应，严密组织、密切协同，依靠科技、保障有力的原则。</w:t>
      </w:r>
    </w:p>
    <w:p w14:paraId="7D28B5CB">
      <w:pPr>
        <w:pStyle w:val="2"/>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15" w:name="_Toc16890"/>
      <w:bookmarkStart w:id="16" w:name="_Toc26235"/>
      <w:bookmarkStart w:id="17" w:name="_Toc18416"/>
      <w:r>
        <w:rPr>
          <w:rFonts w:hint="eastAsia"/>
        </w:rPr>
        <w:t>2 组织指挥体系及职责</w:t>
      </w:r>
      <w:bookmarkEnd w:id="15"/>
      <w:bookmarkEnd w:id="16"/>
      <w:bookmarkEnd w:id="17"/>
    </w:p>
    <w:p w14:paraId="222D60A8">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设立</w:t>
      </w:r>
      <w:r>
        <w:rPr>
          <w:rFonts w:hint="eastAsia" w:ascii="CESI仿宋-GB2312" w:hAnsi="CESI仿宋-GB2312" w:eastAsia="CESI仿宋-GB2312" w:cs="CESI仿宋-GB2312"/>
          <w:i w:val="0"/>
          <w:caps w:val="0"/>
          <w:color w:val="000000" w:themeColor="text1"/>
          <w:spacing w:val="0"/>
          <w:sz w:val="32"/>
          <w:szCs w:val="32"/>
          <w:shd w:val="clear" w:fill="FFFFFF"/>
          <w:lang w:val="en-US" w:eastAsia="zh-CN"/>
          <w14:textFill>
            <w14:solidFill>
              <w14:schemeClr w14:val="tx1"/>
            </w14:solidFill>
          </w14:textFill>
        </w:rPr>
        <w:t>广灵</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县通信保障应急指挥部，指挥、协调全县通信保障应急处置工作。必要时设立现场通信保障应急指挥机构，具体负责事发现场通信保障的组织、协调工作。</w:t>
      </w:r>
    </w:p>
    <w:p w14:paraId="55347D6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lang w:val="en-US" w:eastAsia="zh-CN"/>
          <w14:textFill>
            <w14:solidFill>
              <w14:schemeClr w14:val="tx1"/>
            </w14:solidFill>
          </w14:textFill>
        </w:rPr>
        <w:t>广灵</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指挥部办公室设在县工信局，负责联络和日常事务处理工作。县通信保障应急指挥部下设专家组，由县内通信保障应急专家组成，主要职责是承担决策咨询任务、提出处置措施建议及对有关处置方案进行综合评估等。</w:t>
      </w:r>
    </w:p>
    <w:p w14:paraId="1FE780FF">
      <w:pPr>
        <w:pStyle w:val="3"/>
        <w:keepNext w:val="0"/>
        <w:keepLines w:val="0"/>
        <w:pageBreakBefore w:val="0"/>
        <w:widowControl w:val="0"/>
        <w:kinsoku/>
        <w:wordWrap/>
        <w:overflowPunct w:val="0"/>
        <w:topLinePunct w:val="0"/>
        <w:autoSpaceDE/>
        <w:autoSpaceDN/>
        <w:bidi w:val="0"/>
        <w:adjustRightInd/>
        <w:snapToGrid/>
        <w:ind w:firstLine="883"/>
        <w:jc w:val="both"/>
        <w:textAlignment w:val="auto"/>
        <w:rPr>
          <w:rFonts w:hint="eastAsia"/>
        </w:rPr>
      </w:pPr>
      <w:bookmarkStart w:id="18" w:name="_Toc28611"/>
      <w:bookmarkStart w:id="19" w:name="_Toc18378"/>
      <w:bookmarkStart w:id="20" w:name="_Toc10716"/>
      <w:r>
        <w:rPr>
          <w:rFonts w:hint="eastAsia"/>
        </w:rPr>
        <w:t>2.1县通信保障应急指挥部组成</w:t>
      </w:r>
      <w:bookmarkEnd w:id="18"/>
      <w:bookmarkEnd w:id="19"/>
      <w:bookmarkEnd w:id="20"/>
    </w:p>
    <w:p w14:paraId="59AD2C9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县通信保障应急领导指挥部指挥长：主管副县长</w:t>
      </w:r>
    </w:p>
    <w:p w14:paraId="2856210B">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县通信保障应急领导指挥部副指挥长：县政府办公室主管副主任、工信局局长、</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县应急管理局局长</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、武装部相关负责人。</w:t>
      </w:r>
    </w:p>
    <w:p w14:paraId="292B6D1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县通信保障应急指挥部组成单位：发</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科</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局、公安局、财政局、民政局、交通局、水务局、住建局、气象局、卫</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体</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局、</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县融媒体中心</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、工信局、</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广灵供电公司</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、各基础通信运营企业等。</w:t>
      </w:r>
    </w:p>
    <w:p w14:paraId="497A89F8">
      <w:pPr>
        <w:pStyle w:val="3"/>
        <w:keepNext w:val="0"/>
        <w:keepLines w:val="0"/>
        <w:pageBreakBefore w:val="0"/>
        <w:widowControl w:val="0"/>
        <w:kinsoku/>
        <w:wordWrap/>
        <w:overflowPunct w:val="0"/>
        <w:topLinePunct w:val="0"/>
        <w:autoSpaceDE/>
        <w:autoSpaceDN/>
        <w:bidi w:val="0"/>
        <w:adjustRightInd/>
        <w:snapToGrid/>
        <w:ind w:firstLine="883"/>
        <w:jc w:val="both"/>
        <w:textAlignment w:val="auto"/>
        <w:rPr>
          <w:rFonts w:hint="eastAsia"/>
        </w:rPr>
      </w:pPr>
      <w:bookmarkStart w:id="21" w:name="_Toc30508"/>
      <w:bookmarkStart w:id="22" w:name="_Toc20128"/>
      <w:bookmarkStart w:id="23" w:name="_Toc30946"/>
      <w:r>
        <w:rPr>
          <w:rFonts w:hint="eastAsia"/>
        </w:rPr>
        <w:t>2.2县通信保障应急指挥部职责</w:t>
      </w:r>
      <w:bookmarkEnd w:id="21"/>
      <w:bookmarkEnd w:id="22"/>
      <w:bookmarkEnd w:id="23"/>
    </w:p>
    <w:p w14:paraId="73591F0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（1）贯彻国家有关方针政策，审议通信保障工作相关政策及规定。</w:t>
      </w:r>
    </w:p>
    <w:p w14:paraId="2C9F4B7B">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（2）组织起草、修订</w:t>
      </w:r>
      <w:r>
        <w:rPr>
          <w:rFonts w:hint="eastAsia" w:ascii="CESI仿宋-GB2312" w:hAnsi="CESI仿宋-GB2312" w:eastAsia="CESI仿宋-GB2312" w:cs="CESI仿宋-GB2312"/>
          <w:i w:val="0"/>
          <w:caps w:val="0"/>
          <w:color w:val="000000" w:themeColor="text1"/>
          <w:spacing w:val="0"/>
          <w:sz w:val="32"/>
          <w:szCs w:val="32"/>
          <w:shd w:val="clear" w:fill="FFFFFF"/>
          <w:lang w:val="en-US" w:eastAsia="zh-CN"/>
          <w14:textFill>
            <w14:solidFill>
              <w14:schemeClr w14:val="tx1"/>
            </w14:solidFill>
          </w14:textFill>
        </w:rPr>
        <w:t>广灵</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县通信保障应急预案。</w:t>
      </w:r>
    </w:p>
    <w:p w14:paraId="3142EEA8">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（3）遇突发事件，启动本预案，下达通信保障应急任务。</w:t>
      </w:r>
    </w:p>
    <w:p w14:paraId="0C1DBCA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（4）决策通信保障应急方案，并向县政府</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报告</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实施及进展情况。</w:t>
      </w:r>
    </w:p>
    <w:p w14:paraId="642787E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（5）部署、检查应急通信保障工作，解决通信保障应急工作中的问题。</w:t>
      </w:r>
    </w:p>
    <w:p w14:paraId="1F1CD46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（6）在紧急情况下，统一调用全县各种通信保障资源。</w:t>
      </w:r>
    </w:p>
    <w:p w14:paraId="43A7BE6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（7）根据应急处置实际情况，提出支援请求。</w:t>
      </w:r>
    </w:p>
    <w:p w14:paraId="692B1B93">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24" w:name="_Toc23840"/>
      <w:r>
        <w:rPr>
          <w:rFonts w:hint="eastAsia"/>
        </w:rPr>
        <w:t>2.3 县通信保障应急指挥部办公室的组成和职责</w:t>
      </w:r>
      <w:bookmarkEnd w:id="24"/>
    </w:p>
    <w:p w14:paraId="5642C14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县通信保障应急指挥部办公室主任由县工信局局长担任，</w:t>
      </w:r>
    </w:p>
    <w:p w14:paraId="527F19A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right="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副主任由成员单位部门负责人和各基础通信运营企业主管负责人担任。其职责如下：</w:t>
      </w:r>
    </w:p>
    <w:p w14:paraId="70E8F3C3">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（1）承担县通信保障应急指挥部的日常事务，及时对县通信保障应急指挥部相关工作提出建议。</w:t>
      </w:r>
    </w:p>
    <w:p w14:paraId="25391CB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（2）按照县通信保障应急指挥部下达的命令和指示，负责组织和协调全县的通信保障应急工作，按预案要求完成通信保障应急任务。</w:t>
      </w:r>
    </w:p>
    <w:p w14:paraId="1EA83B6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（3）组织起草、修改县通信保障应急管理预案，组织通信资源潜力调查，掌握县内公用电信网的网络组织，并协调好公用电信网与应急通信专网的互联互通。</w:t>
      </w:r>
    </w:p>
    <w:p w14:paraId="3EBE602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（4）审定县内通信运营企业应急保障预案，检查、落实各级应急通信保障工作，指导全县应急通信保障队伍建设和应急演练工作，督导有关单位做好通信保障应急资源的准备工作。</w:t>
      </w:r>
    </w:p>
    <w:p w14:paraId="21A0D75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（5）制定本县通信保障应急物资储备计划，检查通信保障应急物资保管、维护和使用情况。</w:t>
      </w:r>
    </w:p>
    <w:p w14:paraId="63B363C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（6）完成县通信保障应急指挥部交办的其他事项。</w:t>
      </w:r>
    </w:p>
    <w:p w14:paraId="636E3B51">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25" w:name="_Toc17643"/>
      <w:bookmarkStart w:id="26" w:name="_Toc15817"/>
      <w:bookmarkStart w:id="27" w:name="_Toc16365"/>
      <w:r>
        <w:rPr>
          <w:rFonts w:hint="eastAsia"/>
        </w:rPr>
        <w:t>2.4 县通信保障应急指挥部成员单位的主要职责</w:t>
      </w:r>
      <w:bookmarkEnd w:id="25"/>
      <w:bookmarkEnd w:id="26"/>
      <w:bookmarkEnd w:id="27"/>
    </w:p>
    <w:p w14:paraId="1547FD6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发</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科</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局负责组织协调煤电油气运等部门，做好应急条件下通信枢纽及重要局所等关键通信节点的电力、能源供应工作。</w:t>
      </w:r>
    </w:p>
    <w:p w14:paraId="7A15581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公安局负责灾害区域的治安管理、交通秩序、消防等工作，及时查处、打击破坏通信设施的犯罪活动，保证通信保障应急工作顺利进行。</w:t>
      </w:r>
    </w:p>
    <w:p w14:paraId="4F45D75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财政局负责协调解决党政机关通信应急救援所需经费，协调解决突发事件产生的通信保障费用。</w:t>
      </w:r>
    </w:p>
    <w:p w14:paraId="0E159CA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民政局按照国家和县有关规定以及县通信保障应急领导小组的要求，做好通信保障应急处置的相关工作。</w:t>
      </w:r>
    </w:p>
    <w:p w14:paraId="5ACDC56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交通局负责组织协调做好公路、交通等部门为通信人员、车辆通行提供必要的交通便利。</w:t>
      </w:r>
    </w:p>
    <w:p w14:paraId="72B96CC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水务局负责通信保障现场的监视和监测，为通信保障提供环境支撑。</w:t>
      </w:r>
    </w:p>
    <w:p w14:paraId="5DC5544F">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lang w:val="en-US" w:eastAsia="zh-CN"/>
          <w14:textFill>
            <w14:solidFill>
              <w14:schemeClr w14:val="tx1"/>
            </w14:solidFill>
          </w14:textFill>
        </w:rPr>
        <w:t>防震减灾中心</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负责现场的地震监视和监测，做好对重要通信设施造成破坏的震情监测预报和趋势判定通报。</w:t>
      </w:r>
    </w:p>
    <w:p w14:paraId="3751259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气象局负责各类对通信保障造成影响的气象条件的分析与预测预报，为通信保障应急工作提供气象信息。</w:t>
      </w:r>
    </w:p>
    <w:p w14:paraId="39FEE2D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卫</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体</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局负责伤病员救治。</w:t>
      </w:r>
    </w:p>
    <w:p w14:paraId="3A17A22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县融媒体中心</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负责保障通信应急有关信息及时向社会发布等工作。</w:t>
      </w:r>
    </w:p>
    <w:p w14:paraId="0466566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工信局负责起草、修订</w:t>
      </w:r>
      <w:r>
        <w:rPr>
          <w:rFonts w:hint="eastAsia" w:ascii="CESI仿宋-GB2312" w:hAnsi="CESI仿宋-GB2312" w:eastAsia="CESI仿宋-GB2312" w:cs="CESI仿宋-GB2312"/>
          <w:i w:val="0"/>
          <w:caps w:val="0"/>
          <w:color w:val="000000" w:themeColor="text1"/>
          <w:spacing w:val="0"/>
          <w:sz w:val="32"/>
          <w:szCs w:val="32"/>
          <w:shd w:val="clear" w:fill="FFFFFF"/>
          <w:lang w:val="en-US" w:eastAsia="zh-CN"/>
          <w14:textFill>
            <w14:solidFill>
              <w14:schemeClr w14:val="tx1"/>
            </w14:solidFill>
          </w14:textFill>
        </w:rPr>
        <w:t>广灵</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县通信保障应急预案，组织县内基础通信运营企业实施通信保障和通信恢复等应急工作，组织制定灾后恢复重建计划，并组织基础通信运营企业尽快实施。</w:t>
      </w:r>
    </w:p>
    <w:p w14:paraId="18FC925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广灵供电公司</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负责优先保证救灾方面的供电需要和应急通信救援现场的临时供电。</w:t>
      </w:r>
    </w:p>
    <w:p w14:paraId="174B985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武装部负责组织民兵预备役部（分）队参与应急通信保障，运用无线通信等方式，做好军队通信与地方通信的协调支援工作。</w:t>
      </w:r>
    </w:p>
    <w:p w14:paraId="399FE2E7">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各基础通信运营企业要设立相应的通信保障应急工作管理机构和应急通信保障队伍，负责组织本企业实施通信保障和通信恢复等应急工作。</w:t>
      </w:r>
    </w:p>
    <w:p w14:paraId="281DD48A">
      <w:pPr>
        <w:pStyle w:val="2"/>
        <w:keepNext w:val="0"/>
        <w:keepLines w:val="0"/>
        <w:pageBreakBefore w:val="0"/>
        <w:widowControl w:val="0"/>
        <w:kinsoku/>
        <w:wordWrap/>
        <w:overflowPunct w:val="0"/>
        <w:topLinePunct w:val="0"/>
        <w:autoSpaceDE/>
        <w:autoSpaceDN/>
        <w:bidi w:val="0"/>
        <w:adjustRightInd/>
        <w:snapToGrid/>
        <w:ind w:firstLine="883"/>
        <w:jc w:val="both"/>
        <w:textAlignment w:val="auto"/>
        <w:rPr>
          <w:rFonts w:hint="eastAsia"/>
        </w:rPr>
      </w:pPr>
      <w:bookmarkStart w:id="28" w:name="_Toc10856"/>
      <w:bookmarkStart w:id="29" w:name="_Toc21807"/>
      <w:bookmarkStart w:id="30" w:name="_Toc22020"/>
      <w:r>
        <w:rPr>
          <w:rFonts w:hint="eastAsia"/>
        </w:rPr>
        <w:t>3 预防与预警</w:t>
      </w:r>
      <w:bookmarkEnd w:id="28"/>
      <w:bookmarkEnd w:id="29"/>
      <w:bookmarkEnd w:id="30"/>
    </w:p>
    <w:p w14:paraId="40BE8034">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31" w:name="_Toc18677"/>
      <w:bookmarkStart w:id="32" w:name="_Toc2376"/>
      <w:bookmarkStart w:id="33" w:name="_Toc11744"/>
      <w:r>
        <w:rPr>
          <w:rFonts w:hint="eastAsia"/>
        </w:rPr>
        <w:t>3.</w:t>
      </w:r>
      <w:r>
        <w:rPr>
          <w:rFonts w:hint="eastAsia"/>
          <w:lang w:val="en-US" w:eastAsia="zh-CN"/>
        </w:rPr>
        <w:t>1</w:t>
      </w:r>
      <w:r>
        <w:rPr>
          <w:rFonts w:hint="eastAsia"/>
        </w:rPr>
        <w:t>预防机制</w:t>
      </w:r>
      <w:bookmarkEnd w:id="31"/>
      <w:bookmarkEnd w:id="32"/>
      <w:bookmarkEnd w:id="33"/>
    </w:p>
    <w:p w14:paraId="73AB243B">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基础通信运营企业在通信网络规划和建设中，要贯彻落实网络安全各项工作要求，健全网络安全防护、监测预警和应急通信保障体系建设，不断提高网络的自愈和抗毁能力；强化对网络运行安全和网间互联互通安全的监测及风险隐患排查；完善应急处置机制，修订完善通信保障应急预案，定期组织演练，加强网络运行安全和应急通信保障的宣传教育工作，提高应对突发事件的能力。</w:t>
      </w:r>
    </w:p>
    <w:p w14:paraId="34E07CC0">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通信主管部门要加强对基础通信运营企业网络安全防护、安全运行和应急处置工作的检查指导。</w:t>
      </w:r>
    </w:p>
    <w:p w14:paraId="5C0589F3">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34" w:name="_Toc15969"/>
      <w:bookmarkStart w:id="35" w:name="_Toc21135"/>
      <w:bookmarkStart w:id="36" w:name="_Toc4714"/>
      <w:r>
        <w:rPr>
          <w:rFonts w:hint="eastAsia"/>
        </w:rPr>
        <w:t>3.2预警分级</w:t>
      </w:r>
      <w:bookmarkEnd w:id="34"/>
      <w:bookmarkEnd w:id="35"/>
      <w:bookmarkEnd w:id="36"/>
    </w:p>
    <w:p w14:paraId="1B38F610">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根据上级下达的通信保障任务、突发事件造成的通信故障信息，按照其严重性、影响大小、涉及影响范围，将通信预警划分为特别严重（Ⅰ级）、严重（Ⅱ级）、较严重（Ⅲ级）和一般（Ⅳ级）四个等级，依次标为红色、橙色、黄色和蓝色：</w:t>
      </w:r>
    </w:p>
    <w:p w14:paraId="6D62400B">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b/>
          <w:bCs/>
          <w:i w:val="0"/>
          <w:caps w:val="0"/>
          <w:color w:val="000000" w:themeColor="text1"/>
          <w:spacing w:val="0"/>
          <w:sz w:val="32"/>
          <w:szCs w:val="32"/>
          <w:shd w:val="clear" w:fill="FFFFFF"/>
          <w14:textFill>
            <w14:solidFill>
              <w14:schemeClr w14:val="tx1"/>
            </w14:solidFill>
          </w14:textFill>
        </w:rPr>
        <w:t>Ⅰ级（红色）</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出现因特别重大突发公共事件引发的，有可能造成多区域通信故障或大面积骨干网中断、通信枢纽楼遭到破坏等情况，及需要通信保障应急准备的重大情况；通信网络故障可能升级造成通信故障或大面积骨干网中断的情况。</w:t>
      </w:r>
    </w:p>
    <w:p w14:paraId="2B0B5FA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b/>
          <w:bCs/>
          <w:i w:val="0"/>
          <w:caps w:val="0"/>
          <w:color w:val="000000" w:themeColor="text1"/>
          <w:spacing w:val="0"/>
          <w:sz w:val="32"/>
          <w:szCs w:val="32"/>
          <w:shd w:val="clear" w:fill="FFFFFF"/>
          <w14:textFill>
            <w14:solidFill>
              <w14:schemeClr w14:val="tx1"/>
            </w14:solidFill>
          </w14:textFill>
        </w:rPr>
        <w:t>Ⅱ级（橙色）</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出现因重大突发公共事件引发的，有可能造成我县多个基础通信运营企业所属网络通信故障的情况及需要通信保障应急准备的情况；通信网络故障可能升级造成我县多个基础通信运营企业所属网络通信故障的情况。</w:t>
      </w:r>
    </w:p>
    <w:p w14:paraId="0DA540C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b/>
          <w:bCs/>
          <w:i w:val="0"/>
          <w:caps w:val="0"/>
          <w:color w:val="000000" w:themeColor="text1"/>
          <w:spacing w:val="0"/>
          <w:sz w:val="32"/>
          <w:szCs w:val="32"/>
          <w:shd w:val="clear" w:fill="FFFFFF"/>
          <w14:textFill>
            <w14:solidFill>
              <w14:schemeClr w14:val="tx1"/>
            </w14:solidFill>
          </w14:textFill>
        </w:rPr>
        <w:t>Ⅲ级（黄色）</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：因出现较大突发公共事件引发的，有可能造成本县某个基础通信运营企业所属网络多站点通信故障的情况。</w:t>
      </w:r>
    </w:p>
    <w:p w14:paraId="2AF28998">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b/>
          <w:bCs/>
          <w:i w:val="0"/>
          <w:caps w:val="0"/>
          <w:color w:val="000000" w:themeColor="text1"/>
          <w:spacing w:val="0"/>
          <w:sz w:val="32"/>
          <w:szCs w:val="32"/>
          <w:shd w:val="clear" w:fill="FFFFFF"/>
          <w14:textFill>
            <w14:solidFill>
              <w14:schemeClr w14:val="tx1"/>
            </w14:solidFill>
          </w14:textFill>
        </w:rPr>
        <w:t>IV级（蓝色）</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：出现因一般突发公共事件引发的，某基础通信运营企业所属网络局部通信故障的现象。</w:t>
      </w:r>
    </w:p>
    <w:p w14:paraId="2A2901C1">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37" w:name="_Toc12519"/>
      <w:bookmarkStart w:id="38" w:name="_Toc28820"/>
      <w:bookmarkStart w:id="39" w:name="_Toc2230"/>
      <w:r>
        <w:rPr>
          <w:rFonts w:hint="eastAsia"/>
        </w:rPr>
        <w:t>3.3 预警监测</w:t>
      </w:r>
      <w:bookmarkEnd w:id="37"/>
      <w:bookmarkEnd w:id="38"/>
      <w:bookmarkEnd w:id="39"/>
    </w:p>
    <w:p w14:paraId="76DEC7C0">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通信主管部门建立与有关部门的灾害预警信息共享机制，强化通信网应急指挥调度系统的预警监测功能，密切关注并及时汇总、通报、共享有关信息。</w:t>
      </w:r>
    </w:p>
    <w:p w14:paraId="17FEAD6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基础通信运营企业要建立和完善网络预警监测机制，加强电信网络运行监管。</w:t>
      </w:r>
    </w:p>
    <w:p w14:paraId="25743ED0">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40" w:name="_Toc10298"/>
      <w:bookmarkStart w:id="41" w:name="_Toc26191"/>
      <w:bookmarkStart w:id="42" w:name="_Toc27397"/>
      <w:r>
        <w:rPr>
          <w:rFonts w:hint="eastAsia"/>
        </w:rPr>
        <w:t>3.4 预警通报</w:t>
      </w:r>
      <w:bookmarkEnd w:id="40"/>
      <w:bookmarkEnd w:id="41"/>
      <w:bookmarkEnd w:id="42"/>
    </w:p>
    <w:p w14:paraId="750A313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指挥部办公室接到预警报告后，对预警信息加以分析核实，确定预警级别后及时向县通信保障应急指挥部主要领导报告，研究部署通信保障应急工作的应对措施，并通知各成员单位，做好预防和通信保障应急准备工作。</w:t>
      </w:r>
    </w:p>
    <w:p w14:paraId="7ABC849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预警信息通报的范围限于县内有关部门、涉及的相关行业主管部门及电信行业内部。预警通报以文件传真形式，紧急情况下可以采用电话记录方式。在发布Ⅲ级（黄色）及以上通信保障预警信息时，县通信保障应急指挥部应向上级汇报。</w:t>
      </w:r>
    </w:p>
    <w:p w14:paraId="4BA08E04">
      <w:pPr>
        <w:pStyle w:val="2"/>
        <w:keepNext w:val="0"/>
        <w:keepLines w:val="0"/>
        <w:pageBreakBefore w:val="0"/>
        <w:widowControl w:val="0"/>
        <w:kinsoku/>
        <w:wordWrap/>
        <w:overflowPunct w:val="0"/>
        <w:topLinePunct w:val="0"/>
        <w:autoSpaceDE/>
        <w:autoSpaceDN/>
        <w:bidi w:val="0"/>
        <w:adjustRightInd/>
        <w:snapToGrid/>
        <w:ind w:firstLine="883"/>
        <w:jc w:val="both"/>
        <w:textAlignment w:val="auto"/>
        <w:rPr>
          <w:rFonts w:hint="eastAsia"/>
        </w:rPr>
      </w:pPr>
      <w:bookmarkStart w:id="43" w:name="_Toc29679"/>
      <w:bookmarkStart w:id="44" w:name="_Toc12101"/>
      <w:bookmarkStart w:id="45" w:name="_Toc23540"/>
      <w:r>
        <w:rPr>
          <w:rFonts w:hint="eastAsia"/>
        </w:rPr>
        <w:t>4 应急响应</w:t>
      </w:r>
      <w:bookmarkEnd w:id="43"/>
      <w:bookmarkEnd w:id="44"/>
      <w:bookmarkEnd w:id="45"/>
    </w:p>
    <w:p w14:paraId="5EC536FF">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46" w:name="_Toc24630"/>
      <w:bookmarkStart w:id="47" w:name="_Toc21439"/>
      <w:bookmarkStart w:id="48" w:name="_Toc16737"/>
      <w:r>
        <w:rPr>
          <w:rFonts w:hint="eastAsia"/>
        </w:rPr>
        <w:t>4.1 工作机制</w:t>
      </w:r>
      <w:bookmarkEnd w:id="46"/>
      <w:bookmarkEnd w:id="47"/>
      <w:bookmarkEnd w:id="48"/>
    </w:p>
    <w:p w14:paraId="11FBFE00">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县通信保障应急指挥部启动指挥联动、信息报送、通信联络、信息通报和发布等工作机制，有序开展通信保障工作。</w:t>
      </w:r>
    </w:p>
    <w:p w14:paraId="7A9F9584">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49" w:name="_Toc10492"/>
      <w:bookmarkStart w:id="50" w:name="_Toc16344"/>
      <w:bookmarkStart w:id="51" w:name="_Toc11987"/>
      <w:r>
        <w:rPr>
          <w:rFonts w:hint="eastAsia"/>
        </w:rPr>
        <w:t>4.2 先期处置和信息报告</w:t>
      </w:r>
      <w:bookmarkEnd w:id="49"/>
      <w:bookmarkEnd w:id="50"/>
      <w:bookmarkEnd w:id="51"/>
    </w:p>
    <w:p w14:paraId="7644BE0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事件发生后，相关电信运营企业应立即采取有效处置措施，控制事态发展，并按照有关规定及时上报事件信息；县通信保障应急指挥机构接到事件信息报告后，应立即采取应对措施，并及时报上级通信保障应急指挥机构。</w:t>
      </w:r>
    </w:p>
    <w:p w14:paraId="0CDAA071">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r>
        <w:rPr>
          <w:rFonts w:hint="eastAsia"/>
        </w:rPr>
        <w:t>4.2.1 信息报告</w:t>
      </w:r>
    </w:p>
    <w:p w14:paraId="06BCBB4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发生通信中断、突发事件时，相关通信运营企业要立即向县通信保障应急指挥部办公室口头汇报，1小时内书面简要报告。书面简要报告的内容要包括可能或对通信设施造成的影响的灾害性质，引发造成通信中断的原因、影响的范围、拟采取的措施、社会影响等情况。</w:t>
      </w:r>
    </w:p>
    <w:p w14:paraId="339D5300">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r>
        <w:rPr>
          <w:rFonts w:hint="eastAsia"/>
        </w:rPr>
        <w:t>4.2.2 信息通报</w:t>
      </w:r>
    </w:p>
    <w:p w14:paraId="61F92D8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在处置通信突发事件过程中，县通信保障应急指挥部办公室要加强与各成员单位及相关电信运营企业的信息沟通，及时通报应急处置过程中的信息，提高通信保障和通信恢复工作效率。</w:t>
      </w:r>
    </w:p>
    <w:p w14:paraId="36FF0356">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r>
        <w:rPr>
          <w:rFonts w:hint="eastAsia"/>
        </w:rPr>
        <w:t>4.2.3 通信保障应急任务下达</w:t>
      </w:r>
    </w:p>
    <w:p w14:paraId="44B06943">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发生通信突发事件时，县通信保障应急指挥部办公室按照县通信保障应急指挥部的指示要求，及时向基础通信运营企业下达《通信保障应急任务下达通知书》。接到任务通知书后，各任务接收单位应立即传达贯彻，成立现场通信保障应急指挥机构，并组织相应人员进行通信保障和通信恢复工作。紧急情况下，县通信保障应急指挥机构可通过电话下达任务通知，县通信保障应急指挥部办公室随后下达任务通知书。</w:t>
      </w:r>
    </w:p>
    <w:p w14:paraId="2E84F1F4">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r>
        <w:rPr>
          <w:rFonts w:hint="eastAsia"/>
        </w:rPr>
        <w:t>4.2.4 通信保障应急工作要求</w:t>
      </w:r>
    </w:p>
    <w:p w14:paraId="04D8A7D3">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各基础通信运营企业收到任务通知书后，应立即开展通信保障和通信恢复应急工作。具体要求如下：</w:t>
      </w:r>
    </w:p>
    <w:p w14:paraId="45A4522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3"/>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w:t>
      </w:r>
      <w:r>
        <w:rPr>
          <w:rFonts w:hint="eastAsia" w:ascii="CESI仿宋-GB2312" w:hAnsi="CESI仿宋-GB2312" w:eastAsia="CESI仿宋-GB2312" w:cs="CESI仿宋-GB2312"/>
          <w:i w:val="0"/>
          <w:caps w:val="0"/>
          <w:color w:val="000000" w:themeColor="text1"/>
          <w:spacing w:val="0"/>
          <w:sz w:val="32"/>
          <w:szCs w:val="32"/>
          <w:shd w:val="clear" w:fill="FFFFFF"/>
          <w:lang w:val="en-US" w:eastAsia="zh-CN"/>
          <w14:textFill>
            <w14:solidFill>
              <w14:schemeClr w14:val="tx1"/>
            </w14:solidFill>
          </w14:textFill>
        </w:rPr>
        <w:t>1</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）通信保障及抢修遵循先重点、后一般的原则，具体顺序如下：</w:t>
      </w:r>
    </w:p>
    <w:p w14:paraId="2E380C6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a．突发事件处理指挥联络通信电路；</w:t>
      </w:r>
    </w:p>
    <w:p w14:paraId="67F1CBA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b．党政专网电路；</w:t>
      </w:r>
    </w:p>
    <w:p w14:paraId="74A488D3">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c. 保密、机要、安全、公安、武警、应急等重要部门通信电路；</w:t>
      </w:r>
    </w:p>
    <w:p w14:paraId="0D55985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d．防震、防火、防汛、气象信息发布、医疗急救有关的电路；</w:t>
      </w:r>
    </w:p>
    <w:p w14:paraId="1347FA1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e．金融、证券、民航、海关、铁路、税务、电力等与国民经济密切相关部门的电路；</w:t>
      </w:r>
    </w:p>
    <w:p w14:paraId="783C68A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f．其他需要保障的重要通信电路。</w:t>
      </w:r>
    </w:p>
    <w:p w14:paraId="4C6BD0F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（2）应急通信系统应保持良好状态，实行24小时值班，主要负责人和管理人员的手机24小时开机，保证能随时联系，所有人员应坚守工作岗位待命；</w:t>
      </w:r>
    </w:p>
    <w:p w14:paraId="7D5BEC7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3"/>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（3）主动与上级有关部门联系，及时通报有关情况；</w:t>
      </w:r>
    </w:p>
    <w:p w14:paraId="732D09B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（4）相关通信运营企业在执行通信保障任务和通信恢复过程中，应顾全大局，积极搞好企业间的协作配合，必要时由县通信保障应急指挥部办公室进行统一协调；</w:t>
      </w:r>
    </w:p>
    <w:p w14:paraId="6D14E568">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（5）在紧急情况下，县通信保障应急指挥部办公室可以越级调度应急机动通信系统；</w:t>
      </w:r>
    </w:p>
    <w:p w14:paraId="7AEC34B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（6）当县通信保障应急指挥部办公室与基础通信运营企业集团总部在领导指挥上出现交叉时，应以县通信保障应急指挥部办公室为主；</w:t>
      </w:r>
    </w:p>
    <w:p w14:paraId="7A37634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（7）在组织执行任务过程中，现场通信保障应急指挥机构应及时上报任务执行情况。</w:t>
      </w:r>
    </w:p>
    <w:p w14:paraId="527D9AFB">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r>
        <w:rPr>
          <w:rFonts w:hint="eastAsia"/>
        </w:rPr>
        <w:t>4.2.5 通信保障应急任务结束</w:t>
      </w:r>
    </w:p>
    <w:p w14:paraId="0A4C18A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通信保障和通信恢复应急任务完成后，由县通信保障应急指挥部下达任务结束命令，县通信保障应急指挥部办公室根据命令下达《通信保障应急任务解除通知书》。现场应急通信指挥机构收到通知书后，任务正式结束。</w:t>
      </w:r>
    </w:p>
    <w:p w14:paraId="61D5C3C7">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r>
        <w:rPr>
          <w:rFonts w:hint="eastAsia"/>
        </w:rPr>
        <w:t>4.2.6 信息发布</w:t>
      </w:r>
    </w:p>
    <w:p w14:paraId="4088CB0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县通信保障应急指挥部办公室负责有关信息发布工作。信息发布工作要坚持实事求是、把握适度、内外有别的原则，统一信息发布口径；要加强与新闻主管部门的沟通协商，必要时报请县政府批准。</w:t>
      </w:r>
    </w:p>
    <w:p w14:paraId="562180DD">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r>
        <w:rPr>
          <w:rFonts w:hint="eastAsia"/>
        </w:rPr>
        <w:t>4.2.7 通信联络</w:t>
      </w:r>
    </w:p>
    <w:p w14:paraId="528DCEF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在突发事件的应急响应过程中，要确保应急处置系统内部机构之间和部门之间的通信联络畅通。通信联络方式主要采用固定电话、移动电话、会议电视、传真等；涉及国家机密或向上级报告有关情况时，应采用保密方式联系。</w:t>
      </w:r>
    </w:p>
    <w:p w14:paraId="0B0ABA8B">
      <w:pPr>
        <w:pStyle w:val="4"/>
        <w:keepNext w:val="0"/>
        <w:keepLines w:val="0"/>
        <w:pageBreakBefore w:val="0"/>
        <w:widowControl w:val="0"/>
        <w:kinsoku/>
        <w:wordWrap/>
        <w:overflowPunct w:val="0"/>
        <w:topLinePunct w:val="0"/>
        <w:autoSpaceDE/>
        <w:autoSpaceDN/>
        <w:bidi w:val="0"/>
        <w:adjustRightInd/>
        <w:snapToGrid/>
        <w:jc w:val="both"/>
        <w:textAlignment w:val="auto"/>
        <w:outlineLvl w:val="0"/>
        <w:rPr>
          <w:rFonts w:hint="eastAsia"/>
        </w:rPr>
      </w:pPr>
      <w:bookmarkStart w:id="52" w:name="_Toc7545"/>
      <w:bookmarkStart w:id="53" w:name="_Toc18365"/>
      <w:bookmarkStart w:id="54" w:name="_Toc12155"/>
      <w:r>
        <w:rPr>
          <w:rFonts w:hint="eastAsia"/>
        </w:rPr>
        <w:t>4.3Ⅰ级响应与启动条件</w:t>
      </w:r>
      <w:bookmarkEnd w:id="52"/>
      <w:bookmarkEnd w:id="53"/>
      <w:bookmarkEnd w:id="54"/>
    </w:p>
    <w:p w14:paraId="4A7B68B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b/>
          <w:bCs/>
          <w:i w:val="0"/>
          <w:caps w:val="0"/>
          <w:color w:val="000000" w:themeColor="text1"/>
          <w:spacing w:val="0"/>
          <w:sz w:val="32"/>
          <w:szCs w:val="32"/>
          <w:shd w:val="clear" w:fill="FFFFFF"/>
          <w14:textFill>
            <w14:solidFill>
              <w14:schemeClr w14:val="tx1"/>
            </w14:solidFill>
          </w14:textFill>
        </w:rPr>
        <w:t>Ⅰ级预警（红色）</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：特别重大突发公共事件造成多区域内通信故障或大面积骨干网中断、通信枢纽楼遭到破坏时，实</w:t>
      </w:r>
      <w:r>
        <w:rPr>
          <w:rFonts w:hint="eastAsia" w:ascii="CESI仿宋-GB2312" w:hAnsi="CESI仿宋-GB2312" w:eastAsia="CESI仿宋-GB2312" w:cs="CESI仿宋-GB2312"/>
          <w:b w:val="0"/>
          <w:bCs w:val="0"/>
          <w:i w:val="0"/>
          <w:caps w:val="0"/>
          <w:color w:val="000000" w:themeColor="text1"/>
          <w:spacing w:val="0"/>
          <w:sz w:val="32"/>
          <w:szCs w:val="32"/>
          <w:shd w:val="clear" w:fill="FFFFFF"/>
          <w14:textFill>
            <w14:solidFill>
              <w14:schemeClr w14:val="tx1"/>
            </w14:solidFill>
          </w14:textFill>
        </w:rPr>
        <w:t>施I级</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响应。</w:t>
      </w:r>
    </w:p>
    <w:p w14:paraId="32A2709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b/>
          <w:bCs/>
          <w:i w:val="0"/>
          <w:caps w:val="0"/>
          <w:color w:val="000000" w:themeColor="text1"/>
          <w:spacing w:val="0"/>
          <w:sz w:val="32"/>
          <w:szCs w:val="32"/>
          <w:shd w:val="clear" w:fill="FFFFFF"/>
          <w14:textFill>
            <w14:solidFill>
              <w14:schemeClr w14:val="tx1"/>
            </w14:solidFill>
          </w14:textFill>
        </w:rPr>
        <w:t>I级响应行动</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w:t>
      </w:r>
    </w:p>
    <w:p w14:paraId="49626C9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事故发生后，由通信保障应急指挥部指挥长主持会商，各成员单位主要负责人参加会议。应急指挥部所有成员单位局长及总经理要在事故发生后30分钟内到达指挥中心，召开通信应急紧急会议，部署通信应急工作。发生事故的通信运营企业总经理应在事故发生后15分钟内将通信故障情况报告县通信保障应急指挥部办公室，并且每隔1小时向通信保障应急指挥部办公室汇报一次，由通信应急指挥部办公室及时将信息上报，并且通知各成员单位。</w:t>
      </w:r>
    </w:p>
    <w:p w14:paraId="60B7E60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当发生I级故障时，各单位要强化24小时值班制度，县通信保障应急指挥部各成员单位各司其职，各负其责，服从应急指挥部的统一调度，</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通信保障</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的顺序是先重点、后一般，先急后缓。各基础电信运营企业负责提供抢险必需的应急通信设备、车辆、工具仪表等；县公安局负责治安保卫、维护交通秩序；县交通局负责保障车辆和道路畅通；各部门的应急通信队伍、车辆储备物资等均由通信保障应急指挥部统一调度，其他各成员单位依据各自职责做好应急响应工作。必要时，可由县应急指挥部办公室向上一级应急指挥部办公室提出援助请求。I级响应行动，由县政府批准后实施。根据县政府指令，各基础电信运营企业要立即启动本部门的预案。</w:t>
      </w:r>
    </w:p>
    <w:p w14:paraId="2612FF93">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55" w:name="_Toc30088"/>
      <w:r>
        <w:rPr>
          <w:rFonts w:hint="eastAsia"/>
        </w:rPr>
        <w:t>4.4 Ⅱ级响应与启动条件</w:t>
      </w:r>
      <w:bookmarkEnd w:id="55"/>
    </w:p>
    <w:p w14:paraId="23D2AB0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b/>
          <w:bCs/>
          <w:i w:val="0"/>
          <w:caps w:val="0"/>
          <w:color w:val="000000" w:themeColor="text1"/>
          <w:spacing w:val="0"/>
          <w:sz w:val="32"/>
          <w:szCs w:val="32"/>
          <w:shd w:val="clear" w:fill="FFFFFF"/>
          <w14:textFill>
            <w14:solidFill>
              <w14:schemeClr w14:val="tx1"/>
            </w14:solidFill>
          </w14:textFill>
        </w:rPr>
        <w:t>Ⅱ级预警（橙色）</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：重大突发公共事件造成我县多个基础电信运营企业所属网络通信故障时，实施Ⅱ级应急响应。</w:t>
      </w:r>
    </w:p>
    <w:p w14:paraId="319FB92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b/>
          <w:bCs/>
          <w:i w:val="0"/>
          <w:caps w:val="0"/>
          <w:color w:val="000000" w:themeColor="text1"/>
          <w:spacing w:val="0"/>
          <w:sz w:val="32"/>
          <w:szCs w:val="32"/>
          <w:shd w:val="clear" w:fill="FFFFFF"/>
          <w14:textFill>
            <w14:solidFill>
              <w14:schemeClr w14:val="tx1"/>
            </w14:solidFill>
          </w14:textFill>
        </w:rPr>
        <w:t>Ⅱ级响应行动</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w:t>
      </w:r>
    </w:p>
    <w:p w14:paraId="5428DD2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事故发生后，由通信保障应急指挥部指挥长指挥并主持会商，各成员单位参加，召开通信应急保障紧急会议。事故发生的通信运营企业总经理应在事故发生后</w:t>
      </w:r>
      <w:r>
        <w:rPr>
          <w:rFonts w:hint="eastAsia" w:ascii="CESI仿宋-GB2312" w:hAnsi="CESI仿宋-GB2312" w:eastAsia="CESI仿宋-GB2312" w:cs="CESI仿宋-GB2312"/>
          <w:i w:val="0"/>
          <w:caps w:val="0"/>
          <w:color w:val="000000" w:themeColor="text1"/>
          <w:spacing w:val="0"/>
          <w:sz w:val="32"/>
          <w:szCs w:val="32"/>
          <w:shd w:val="clear" w:fill="FFFFFF"/>
          <w:lang w:val="en-US" w:eastAsia="zh-CN"/>
          <w14:textFill>
            <w14:solidFill>
              <w14:schemeClr w14:val="tx1"/>
            </w14:solidFill>
          </w14:textFill>
        </w:rPr>
        <w:t>20</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分钟内将通信故障情况报告县通信保障应急指挥部办公室，并且每隔1小时向通信保障应急指挥部办公室汇报一次，由县通信保障应急办公室及时将信息上报，并通知各成员单位。</w:t>
      </w:r>
    </w:p>
    <w:p w14:paraId="23A320B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当发生Ⅱ级故障时，应30分钟内集合起应急指挥部成员，2小时内组织应急通信抢修队伍和应急机动保障队伍到达指挥现场。各基础电信运营企业提出具体的分析和建议；县通信保障指挥部办公室提出应急保障重点、措施和建议，统一领导、分级负责，全面规划，先业务、后设备，先干线、后本地，先交换、后基站，先调通、后抢修，先重点、后一般，先急后缓。通信运营企业各自备好应急通信的专用工具，如仪器仪表、备品备件、发动机、抽水泵、应急照明灯、抢险工具、车辆等，由通信应急指挥部办公室统一调度，县公安局要负责好辖区内事故发生地社会治安维护工作，县交通局要确保应急车辆的调用和道路的畅通，县财政局、各大通信运营企业为救灾工作提供资金保证，其他成员单位要依照各自职责做好应急响应工作。</w:t>
      </w:r>
    </w:p>
    <w:p w14:paraId="44F423C3">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56" w:name="_Toc4674"/>
      <w:r>
        <w:rPr>
          <w:rFonts w:hint="eastAsia"/>
        </w:rPr>
        <w:t>4.5 Ⅲ级响应与启动条件</w:t>
      </w:r>
      <w:bookmarkEnd w:id="56"/>
    </w:p>
    <w:p w14:paraId="7978739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b/>
          <w:bCs/>
          <w:i w:val="0"/>
          <w:caps w:val="0"/>
          <w:color w:val="000000" w:themeColor="text1"/>
          <w:spacing w:val="0"/>
          <w:sz w:val="32"/>
          <w:szCs w:val="32"/>
          <w:shd w:val="clear" w:fill="FFFFFF"/>
          <w14:textFill>
            <w14:solidFill>
              <w14:schemeClr w14:val="tx1"/>
            </w14:solidFill>
          </w14:textFill>
        </w:rPr>
        <w:t>Ⅲ级预警（黄色）</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：较大突发事件造成本县某个基础电信运营企业多个通信故障时，由县通信应急指挥部负责组织协调，宣布启动本预案，同时报上级。</w:t>
      </w:r>
    </w:p>
    <w:p w14:paraId="1D21EF90">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CESI仿宋-GB2312" w:hAnsi="CESI仿宋-GB2312" w:eastAsia="CESI仿宋-GB2312" w:cs="CESI仿宋-GB2312"/>
          <w:b/>
          <w:bCs/>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b/>
          <w:bCs/>
          <w:i w:val="0"/>
          <w:caps w:val="0"/>
          <w:color w:val="000000" w:themeColor="text1"/>
          <w:spacing w:val="0"/>
          <w:sz w:val="32"/>
          <w:szCs w:val="32"/>
          <w:shd w:val="clear" w:fill="FFFFFF"/>
          <w14:textFill>
            <w14:solidFill>
              <w14:schemeClr w14:val="tx1"/>
            </w14:solidFill>
          </w14:textFill>
        </w:rPr>
        <w:t>Ⅲ级响应行动：</w:t>
      </w:r>
    </w:p>
    <w:p w14:paraId="76815A57">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事故发生后，由县通信保障应急指挥部指挥长统一指挥。县发</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科</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局局长主持会商，各成员单位参加，部署通信保障应急工作，明确通信保障目标和重点，加强值班，组织人力、物力做好抢修、抢险等准备与实施。事故发生的通信运营企业总经理应在事故发生后30分钟内将通信故障情况报告县通信保障应急指挥部办公室，并每隔2小时向通信保障应急指挥部办公室汇报相关情况。</w:t>
      </w:r>
    </w:p>
    <w:p w14:paraId="1825146F">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当发生Ⅲ级故障时，事故发生地的主管领导亲临现场</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查看</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灾情，各基础电信运营企业经理要确保在2小时之内将抢修物资送达通信抢修现场，各部门的应急队伍、车辆、储备物资等均由发</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科</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局统一调度。</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其他各</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成员单位依据各自职责做好应急响应工作，保障通信设施和通信阻断恢复。</w:t>
      </w:r>
    </w:p>
    <w:p w14:paraId="7B8E7E1D">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57" w:name="_Toc23203"/>
      <w:r>
        <w:rPr>
          <w:rFonts w:hint="eastAsia"/>
        </w:rPr>
        <w:t>4.6 Ⅳ级响应与启动条件</w:t>
      </w:r>
      <w:bookmarkEnd w:id="57"/>
    </w:p>
    <w:p w14:paraId="369E7460">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b/>
          <w:bCs/>
          <w:i w:val="0"/>
          <w:caps w:val="0"/>
          <w:color w:val="000000" w:themeColor="text1"/>
          <w:spacing w:val="0"/>
          <w:sz w:val="32"/>
          <w:szCs w:val="32"/>
          <w:shd w:val="clear" w:fill="FFFFFF"/>
          <w14:textFill>
            <w14:solidFill>
              <w14:schemeClr w14:val="tx1"/>
            </w14:solidFill>
          </w14:textFill>
        </w:rPr>
        <w:t>IV级预警（蓝色）</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：突发事件造成本县某基础通信运营企业局部通信故障时，由相应基础通信运营企业通信保障应急管理机构负责相关的通信保障和通信恢复应急工作，实施IV级应急响应。</w:t>
      </w:r>
    </w:p>
    <w:p w14:paraId="49879CA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CESI仿宋-GB2312" w:hAnsi="CESI仿宋-GB2312" w:eastAsia="CESI仿宋-GB2312" w:cs="CESI仿宋-GB2312"/>
          <w:b/>
          <w:bCs/>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b/>
          <w:bCs/>
          <w:i w:val="0"/>
          <w:caps w:val="0"/>
          <w:color w:val="000000" w:themeColor="text1"/>
          <w:spacing w:val="0"/>
          <w:sz w:val="32"/>
          <w:szCs w:val="32"/>
          <w:shd w:val="clear" w:fill="FFFFFF"/>
          <w14:textFill>
            <w14:solidFill>
              <w14:schemeClr w14:val="tx1"/>
            </w14:solidFill>
          </w14:textFill>
        </w:rPr>
        <w:t>IV级响应行动：</w:t>
      </w:r>
    </w:p>
    <w:p w14:paraId="602ADC7F">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事故发生后，由事故发生地主管领导主持会商，当地相关部门主要领导参加会议，研究分析可能影响情况。加强值班，研究通信应急重点和对策，部署有关工作。事故发生的通信运营企业总经理应在事故发生后30分钟内将通信故障情况报告县通信保障应急领导小组办公室，并且每隔2小时汇报一次，由通信保障应急领导小组办公室及时将相关情况通报各成员单位。当发生IV级故障时，由事故发生地主管领导统一指挥，当地相关部门负责提供应急通信设备、车辆、工具仪表等必需品及应急保障队伍。各部门应积极配合，负责完成辖区内的通信保障任务。其他相对应的成员单位依据本预案中各自职责做好应急响应工作。</w:t>
      </w:r>
    </w:p>
    <w:p w14:paraId="332334E1">
      <w:pPr>
        <w:pStyle w:val="2"/>
        <w:keepNext w:val="0"/>
        <w:keepLines w:val="0"/>
        <w:pageBreakBefore w:val="0"/>
        <w:widowControl w:val="0"/>
        <w:kinsoku/>
        <w:wordWrap/>
        <w:overflowPunct w:val="0"/>
        <w:topLinePunct w:val="0"/>
        <w:autoSpaceDE/>
        <w:autoSpaceDN/>
        <w:bidi w:val="0"/>
        <w:adjustRightInd/>
        <w:snapToGrid/>
        <w:ind w:firstLine="883"/>
        <w:jc w:val="both"/>
        <w:textAlignment w:val="auto"/>
        <w:rPr>
          <w:rFonts w:hint="eastAsia"/>
        </w:rPr>
      </w:pPr>
      <w:bookmarkStart w:id="58" w:name="_Toc9288"/>
      <w:bookmarkStart w:id="59" w:name="_Toc9538"/>
      <w:bookmarkStart w:id="60" w:name="_Toc16159"/>
      <w:r>
        <w:rPr>
          <w:rFonts w:hint="eastAsia"/>
        </w:rPr>
        <w:t>5 后期处置</w:t>
      </w:r>
      <w:bookmarkEnd w:id="58"/>
      <w:bookmarkEnd w:id="59"/>
      <w:bookmarkEnd w:id="60"/>
    </w:p>
    <w:p w14:paraId="16FBBB30">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61" w:name="_Toc26777"/>
      <w:bookmarkStart w:id="62" w:name="_Toc9132"/>
      <w:bookmarkStart w:id="63" w:name="_Toc24949"/>
      <w:r>
        <w:rPr>
          <w:rFonts w:hint="eastAsia"/>
        </w:rPr>
        <w:t>5.1 总结评估</w:t>
      </w:r>
      <w:bookmarkEnd w:id="61"/>
      <w:bookmarkEnd w:id="62"/>
      <w:bookmarkEnd w:id="63"/>
    </w:p>
    <w:p w14:paraId="1880E92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通信保障应急工作结束后，相关通信保障应急管理机构做好突发事件中公众通信网络设施损失情况的统计、汇总及任务完成情况的总结和评估。县通信保障应急指挥部负责对特别重大通信保障任务完成情况进行分析评估，提出改进意见。</w:t>
      </w:r>
    </w:p>
    <w:p w14:paraId="75E6E791">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64" w:name="_Toc628"/>
      <w:bookmarkStart w:id="65" w:name="_Toc32753"/>
      <w:bookmarkStart w:id="66" w:name="_Toc12081"/>
      <w:r>
        <w:rPr>
          <w:rFonts w:hint="eastAsia"/>
        </w:rPr>
        <w:t>5.2 征用补偿</w:t>
      </w:r>
      <w:bookmarkEnd w:id="64"/>
      <w:bookmarkEnd w:id="65"/>
      <w:bookmarkEnd w:id="66"/>
    </w:p>
    <w:p w14:paraId="364EBB8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通信保障应急工作结束后，县政府及有关部门应及时归还征用的通信物资和装备。造成损失或无法归还的，应按有关规定予以适当补偿。</w:t>
      </w:r>
    </w:p>
    <w:p w14:paraId="560C585A">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67" w:name="_Toc14702"/>
      <w:bookmarkStart w:id="68" w:name="_Toc30512"/>
      <w:bookmarkStart w:id="69" w:name="_Toc1918"/>
      <w:r>
        <w:rPr>
          <w:rFonts w:hint="eastAsia"/>
        </w:rPr>
        <w:t>5.3 恢复与重建</w:t>
      </w:r>
      <w:bookmarkEnd w:id="67"/>
      <w:bookmarkEnd w:id="68"/>
      <w:bookmarkEnd w:id="69"/>
    </w:p>
    <w:p w14:paraId="59B80C0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突发事件应急处置工作结束后，按照县通信保障应急领导</w:t>
      </w:r>
    </w:p>
    <w:p w14:paraId="056A9DD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小组和县政府的要求，县工信局立即组织制定灾后恢复重建计划报上级部门，并组织基础电信运营企业尽快实施。</w:t>
      </w:r>
    </w:p>
    <w:p w14:paraId="2210F520">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70" w:name="_Toc12235"/>
      <w:bookmarkStart w:id="71" w:name="_Toc8331"/>
      <w:bookmarkStart w:id="72" w:name="_Toc7165"/>
      <w:r>
        <w:rPr>
          <w:rFonts w:hint="eastAsia"/>
        </w:rPr>
        <w:t>5.4 调查、处理与监督检查</w:t>
      </w:r>
      <w:bookmarkEnd w:id="70"/>
      <w:bookmarkEnd w:id="71"/>
      <w:bookmarkEnd w:id="72"/>
    </w:p>
    <w:p w14:paraId="75D6FEF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县通信保障应急指挥部办公室对通信事故原因进行调查、分析和处理，并对事故责任处理情况进行监督检查。</w:t>
      </w:r>
    </w:p>
    <w:p w14:paraId="1E166BCA">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73" w:name="_Toc15607"/>
      <w:bookmarkStart w:id="74" w:name="_Toc6543"/>
      <w:bookmarkStart w:id="75" w:name="_Toc10149"/>
      <w:r>
        <w:rPr>
          <w:rFonts w:hint="eastAsia"/>
        </w:rPr>
        <w:t>5.5 奖励和责任追究</w:t>
      </w:r>
      <w:bookmarkEnd w:id="73"/>
      <w:bookmarkEnd w:id="74"/>
      <w:bookmarkEnd w:id="75"/>
    </w:p>
    <w:p w14:paraId="120145AF">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对在通信保障应急工作中作出突出贡献的单位和个人按规定给予奖励；对在通信保障应急工作中玩忽职守造成损失的，依据国家有关法律法规及相关规定，追究当事人的责任；构成犯罪的，依法追究刑事责任。</w:t>
      </w:r>
    </w:p>
    <w:p w14:paraId="21547AA8">
      <w:pPr>
        <w:pStyle w:val="2"/>
        <w:keepNext w:val="0"/>
        <w:keepLines w:val="0"/>
        <w:pageBreakBefore w:val="0"/>
        <w:widowControl w:val="0"/>
        <w:kinsoku/>
        <w:wordWrap/>
        <w:overflowPunct w:val="0"/>
        <w:topLinePunct w:val="0"/>
        <w:autoSpaceDE/>
        <w:autoSpaceDN/>
        <w:bidi w:val="0"/>
        <w:adjustRightInd/>
        <w:snapToGrid/>
        <w:ind w:firstLine="883"/>
        <w:jc w:val="both"/>
        <w:textAlignment w:val="auto"/>
        <w:rPr>
          <w:rFonts w:hint="eastAsia"/>
        </w:rPr>
      </w:pPr>
      <w:bookmarkStart w:id="76" w:name="_Toc9481"/>
      <w:bookmarkStart w:id="77" w:name="_Toc2219"/>
      <w:bookmarkStart w:id="78" w:name="_Toc15886"/>
      <w:r>
        <w:rPr>
          <w:rFonts w:hint="eastAsia"/>
        </w:rPr>
        <w:t>6 保障措施</w:t>
      </w:r>
      <w:bookmarkEnd w:id="76"/>
      <w:bookmarkEnd w:id="77"/>
      <w:bookmarkEnd w:id="78"/>
    </w:p>
    <w:p w14:paraId="5EC823F6">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79" w:name="_Toc31635"/>
      <w:bookmarkStart w:id="80" w:name="_Toc4643"/>
      <w:bookmarkStart w:id="81" w:name="_Toc24628"/>
      <w:r>
        <w:rPr>
          <w:rFonts w:hint="eastAsia"/>
        </w:rPr>
        <w:t>6.</w:t>
      </w:r>
      <w:r>
        <w:rPr>
          <w:rFonts w:hint="eastAsia"/>
          <w:lang w:val="en-US" w:eastAsia="zh-CN"/>
        </w:rPr>
        <w:t>1</w:t>
      </w:r>
      <w:r>
        <w:rPr>
          <w:rFonts w:hint="eastAsia"/>
        </w:rPr>
        <w:t>应急通信保障队伍</w:t>
      </w:r>
      <w:bookmarkEnd w:id="79"/>
      <w:bookmarkEnd w:id="80"/>
      <w:bookmarkEnd w:id="81"/>
    </w:p>
    <w:p w14:paraId="014C6AC7">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工信局等部门应加强应急通信专业保障队伍建设，针对灾害分布进行合理配置，并展开相应的培训、演练及考核，提高队伍通信保障的实战能力。通信运营企业要按照工信局的统一部署，不断完善专业应急机动通信保障队伍和公用通信网运行维护应急梯队，加强应急通信装备的配备，以满足我县应急通信保障等工作的要求。</w:t>
      </w:r>
    </w:p>
    <w:p w14:paraId="10538EC8">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r>
        <w:rPr>
          <w:rFonts w:hint="eastAsia"/>
        </w:rPr>
        <w:t>6.1.1 应急通信保障队伍组成</w:t>
      </w:r>
    </w:p>
    <w:p w14:paraId="5322C85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通信保障应急队伍以各通信运营企业的网络管理、运行维护、工程等专业应急通信保障工作人员构成。</w:t>
      </w:r>
    </w:p>
    <w:p w14:paraId="2AD4FBC4">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r>
        <w:rPr>
          <w:rFonts w:hint="eastAsia"/>
        </w:rPr>
        <w:t>6.1.2建立预案库</w:t>
      </w:r>
    </w:p>
    <w:p w14:paraId="459C0A4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对历史上重点险工、险段或易发生突发事件的重点区域，</w:t>
      </w:r>
    </w:p>
    <w:p w14:paraId="091FFF3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right="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各相关单位应提前编制适合不同场景和类型的通信保障应急</w:t>
      </w:r>
    </w:p>
    <w:p w14:paraId="031DC1B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right="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预案库，以备紧急情况下因险施策。</w:t>
      </w:r>
    </w:p>
    <w:p w14:paraId="2CB4FD7B">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82" w:name="_Toc13823"/>
      <w:bookmarkStart w:id="83" w:name="_Toc11805"/>
      <w:bookmarkStart w:id="84" w:name="_Toc17821"/>
      <w:r>
        <w:rPr>
          <w:rFonts w:hint="eastAsia"/>
        </w:rPr>
        <w:t>6.2 基础设施及物资保障</w:t>
      </w:r>
      <w:bookmarkEnd w:id="82"/>
      <w:bookmarkEnd w:id="83"/>
      <w:bookmarkEnd w:id="84"/>
    </w:p>
    <w:p w14:paraId="70AF866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各基础通信运营企业应根据地域特点和通信保障工作的需要，有针对性地配备必要的通信保障应急装备（包括基本的防护装备），尤其要加强小型、便携等适应性强的应急通信装备配备，形成手段多样、能够独立组网的装备配置系列，并加强对应急装备的管理、维护和保养，健全采购、调用、补充、报废等管理制度。</w:t>
      </w:r>
    </w:p>
    <w:p w14:paraId="6B48F7B2">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r>
        <w:rPr>
          <w:rFonts w:hint="eastAsia"/>
        </w:rPr>
        <w:t>6.2.1 通信保障应急物资储备要求</w:t>
      </w:r>
    </w:p>
    <w:p w14:paraId="35DF8860">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各通信运营企业通信保障应急物资储备要按照物资种类、物资分布区域、物资归属地等不同情况，明确专人负责、建立台账登记制度，实施物资动态管理，确保应急通信物资需求。</w:t>
      </w:r>
    </w:p>
    <w:p w14:paraId="27F060D7">
      <w:pPr>
        <w:pStyle w:val="4"/>
        <w:keepNext w:val="0"/>
        <w:keepLines w:val="0"/>
        <w:pageBreakBefore w:val="0"/>
        <w:widowControl w:val="0"/>
        <w:kinsoku/>
        <w:wordWrap/>
        <w:overflowPunct w:val="0"/>
        <w:topLinePunct w:val="0"/>
        <w:autoSpaceDE/>
        <w:autoSpaceDN/>
        <w:bidi w:val="0"/>
        <w:adjustRightInd/>
        <w:snapToGrid/>
        <w:jc w:val="both"/>
        <w:textAlignment w:val="auto"/>
        <w:rPr>
          <w:rFonts w:hint="eastAsia"/>
        </w:rPr>
      </w:pPr>
      <w:r>
        <w:rPr>
          <w:rFonts w:hint="eastAsia"/>
        </w:rPr>
        <w:t>6.2.2 通信保障应急管理机构必备资料</w:t>
      </w:r>
    </w:p>
    <w:p w14:paraId="37976E77">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lang w:eastAsia="zh-CN"/>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各通信运营企业通信保障应急管理机构必须备有以下资料</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w:t>
      </w:r>
    </w:p>
    <w:p w14:paraId="3FEEB24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w:t>
      </w:r>
      <w:r>
        <w:rPr>
          <w:rFonts w:hint="eastAsia" w:ascii="CESI仿宋-GB2312" w:hAnsi="CESI仿宋-GB2312" w:eastAsia="CESI仿宋-GB2312" w:cs="CESI仿宋-GB2312"/>
          <w:i w:val="0"/>
          <w:caps w:val="0"/>
          <w:color w:val="000000" w:themeColor="text1"/>
          <w:spacing w:val="0"/>
          <w:sz w:val="32"/>
          <w:szCs w:val="32"/>
          <w:shd w:val="clear" w:fill="FFFFFF"/>
          <w:lang w:val="en-US" w:eastAsia="zh-CN"/>
          <w14:textFill>
            <w14:solidFill>
              <w14:schemeClr w14:val="tx1"/>
            </w14:solidFill>
          </w14:textFill>
        </w:rPr>
        <w:t>1</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）通信保障应急主要设备的备品备件；</w:t>
      </w:r>
    </w:p>
    <w:p w14:paraId="52ED3A5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（2）通信保障应急物资储备器材的型号、数量、存放地点等清单；</w:t>
      </w:r>
    </w:p>
    <w:p w14:paraId="70DAE6D7">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（3）防汛、防火、地震灾害等个人灾害防护用具；</w:t>
      </w:r>
    </w:p>
    <w:p w14:paraId="31AA008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（4）通信保障应急预案、通信调度预案和异常情况处理流程图；</w:t>
      </w:r>
    </w:p>
    <w:p w14:paraId="6DD6317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（5）相关单位、部门的主要负责同志联系方式；</w:t>
      </w:r>
    </w:p>
    <w:p w14:paraId="29EC64B3">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（6）1</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600万全国地图，1</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50万省、市、县（乡/镇）地图；</w:t>
      </w:r>
    </w:p>
    <w:p w14:paraId="70D58AB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3"/>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（7）其他应急通信保障必备的器材及资料。</w:t>
      </w:r>
    </w:p>
    <w:p w14:paraId="6434BDD5">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85" w:name="_Toc14805"/>
      <w:bookmarkStart w:id="86" w:name="_Toc19899"/>
      <w:bookmarkStart w:id="87" w:name="_Toc32435"/>
      <w:r>
        <w:rPr>
          <w:rFonts w:hint="eastAsia"/>
        </w:rPr>
        <w:t>6.3 交通运输保障</w:t>
      </w:r>
      <w:bookmarkEnd w:id="85"/>
      <w:bookmarkEnd w:id="86"/>
      <w:bookmarkEnd w:id="87"/>
    </w:p>
    <w:p w14:paraId="5E06480F">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为保证通信保障应急车辆、物资迅速抵达抢修现场，公安局、交通局等有关部门通过组织协调必要的交通运输工具、给应急通信专用车辆配发特许通行证等方式，及时提供运输通行保障。</w:t>
      </w:r>
    </w:p>
    <w:p w14:paraId="389A84E9">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88" w:name="_Toc28880"/>
      <w:bookmarkStart w:id="89" w:name="_Toc6976"/>
      <w:bookmarkStart w:id="90" w:name="_Toc28728"/>
      <w:r>
        <w:rPr>
          <w:rFonts w:hint="eastAsia"/>
        </w:rPr>
        <w:t>6.4 电力能源供应保障</w:t>
      </w:r>
      <w:bookmarkEnd w:id="88"/>
      <w:bookmarkEnd w:id="89"/>
      <w:bookmarkEnd w:id="90"/>
    </w:p>
    <w:p w14:paraId="03E94B3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各通信运营企业应按国家相关规定配备应急发电设备。事发地煤电油气运相关部门负责协调相关企业优先保证通信设施和现场应急通信装备的供电、供油需求，确保应急条件下通信枢纽及重要局所等关键通信节点的电力、能源供应。</w:t>
      </w:r>
    </w:p>
    <w:p w14:paraId="014735C2">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91" w:name="_Toc14984"/>
      <w:bookmarkStart w:id="92" w:name="_Toc20385"/>
      <w:bookmarkStart w:id="93" w:name="_Toc31353"/>
      <w:r>
        <w:rPr>
          <w:rFonts w:hint="eastAsia"/>
        </w:rPr>
        <w:t>6.5 地方政府支援保障</w:t>
      </w:r>
      <w:bookmarkEnd w:id="91"/>
      <w:bookmarkEnd w:id="92"/>
      <w:bookmarkEnd w:id="93"/>
    </w:p>
    <w:p w14:paraId="0159DB93">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事发地政府负责协调当地有关行政主管部门，确保通信保障应急物资、器材、人员运送的及时到位，确保现场应急通信系统的电力、油料供应，在通信保障应急现场处置人员自备物资不足时，负责提供必要的后勤保障和社会支援力量协调等方面的工作。</w:t>
      </w:r>
    </w:p>
    <w:p w14:paraId="0391B204">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94" w:name="_Toc4344"/>
      <w:bookmarkStart w:id="95" w:name="_Toc21668"/>
      <w:bookmarkStart w:id="96" w:name="_Toc24276"/>
      <w:r>
        <w:rPr>
          <w:rFonts w:hint="eastAsia"/>
        </w:rPr>
        <w:t>6.6 资金保障</w:t>
      </w:r>
      <w:bookmarkEnd w:id="94"/>
      <w:bookmarkEnd w:id="95"/>
      <w:bookmarkEnd w:id="96"/>
    </w:p>
    <w:p w14:paraId="132F879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因电信网络安全事故造成的通信保障和恢复等处置费用，由基础电信运营企业承担。突发事件应急处置和实施重要通信保障任务所发生的通信保障费用，由财政局参照《突发公共事件财政应急保障预案》执行。</w:t>
      </w:r>
    </w:p>
    <w:p w14:paraId="6A897BF8">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97" w:name="_Toc23097"/>
      <w:bookmarkStart w:id="98" w:name="_Toc20910"/>
      <w:bookmarkStart w:id="99" w:name="_Toc18013"/>
      <w:r>
        <w:rPr>
          <w:rFonts w:hint="eastAsia"/>
        </w:rPr>
        <w:t>6.7 治安保障</w:t>
      </w:r>
      <w:bookmarkEnd w:id="97"/>
      <w:bookmarkEnd w:id="98"/>
      <w:bookmarkEnd w:id="99"/>
    </w:p>
    <w:p w14:paraId="62A63D1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公安部门主要负责灾害区域的治安和交通管理工作，维护</w:t>
      </w:r>
    </w:p>
    <w:p w14:paraId="1493C83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right="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灾区社会治安秩序和道路交通秩序，为保证通信应急保障车辆通行提供便利，保证通信保障应急工作顺利进行。</w:t>
      </w:r>
    </w:p>
    <w:p w14:paraId="417A573D">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100" w:name="_Toc22287"/>
      <w:bookmarkStart w:id="101" w:name="_Toc16866"/>
      <w:bookmarkStart w:id="102" w:name="_Toc24753"/>
      <w:r>
        <w:rPr>
          <w:rFonts w:hint="eastAsia"/>
        </w:rPr>
        <w:t>6.8 医疗保障</w:t>
      </w:r>
      <w:bookmarkEnd w:id="100"/>
      <w:bookmarkEnd w:id="101"/>
      <w:bookmarkEnd w:id="102"/>
    </w:p>
    <w:p w14:paraId="4D63290F">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医疗卫生部门负责灾害区域疾病防治的业务技术指导，组织医疗卫生队赶赴灾区进行必要的防疫消毒、抢救伤病员、保障饮水和食品卫生安全。</w:t>
      </w:r>
    </w:p>
    <w:p w14:paraId="2F8EB7EC">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103" w:name="_Toc12113"/>
      <w:bookmarkStart w:id="104" w:name="_Toc10536"/>
      <w:bookmarkStart w:id="105" w:name="_Toc3794"/>
      <w:r>
        <w:rPr>
          <w:rFonts w:hint="eastAsia"/>
        </w:rPr>
        <w:t>6.9 应急通信保障工作监督检查制度</w:t>
      </w:r>
      <w:bookmarkEnd w:id="103"/>
      <w:bookmarkEnd w:id="104"/>
      <w:bookmarkEnd w:id="105"/>
    </w:p>
    <w:p w14:paraId="6524D4E8">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县通信保障应急指挥部办公室要加强对通信保障工作的监督和检查。主要监督检查内容如下：</w:t>
      </w:r>
    </w:p>
    <w:p w14:paraId="0A8D7228">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（1）各单位通信保障应急预案的制定、执行情况；</w:t>
      </w:r>
    </w:p>
    <w:p w14:paraId="120D62A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（2）通信保障应急工作的组织机构落实情况；</w:t>
      </w:r>
    </w:p>
    <w:p w14:paraId="015B15C7">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（3）通信保障应急指挥、调度、通信值班等部门的责任落实情况；</w:t>
      </w:r>
    </w:p>
    <w:p w14:paraId="4904566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（4）各部门、各企业之间的协作配合情况；</w:t>
      </w:r>
    </w:p>
    <w:p w14:paraId="7EBD539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（5）通信保障应急保障队伍建设情况；</w:t>
      </w:r>
    </w:p>
    <w:p w14:paraId="2C15B5B0">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（6）通信保障应急预案的演练情况；</w:t>
      </w:r>
    </w:p>
    <w:p w14:paraId="12743AD0">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（7）通信保障应急所需物资、装备、器材及备品备件的储备情况；</w:t>
      </w:r>
    </w:p>
    <w:p w14:paraId="73C1CA6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（8）通信事故处理后的原因分析，责任划分及改进防范措施等执行情况。</w:t>
      </w:r>
    </w:p>
    <w:p w14:paraId="5A235E80">
      <w:pPr>
        <w:pStyle w:val="2"/>
        <w:keepNext w:val="0"/>
        <w:keepLines w:val="0"/>
        <w:pageBreakBefore w:val="0"/>
        <w:widowControl w:val="0"/>
        <w:kinsoku/>
        <w:wordWrap/>
        <w:overflowPunct w:val="0"/>
        <w:topLinePunct w:val="0"/>
        <w:autoSpaceDE/>
        <w:autoSpaceDN/>
        <w:bidi w:val="0"/>
        <w:adjustRightInd/>
        <w:snapToGrid/>
        <w:ind w:firstLine="883"/>
        <w:jc w:val="both"/>
        <w:textAlignment w:val="auto"/>
        <w:rPr>
          <w:rFonts w:hint="eastAsia"/>
        </w:rPr>
      </w:pPr>
      <w:bookmarkStart w:id="106" w:name="_Toc28808"/>
      <w:bookmarkStart w:id="107" w:name="_Toc27207"/>
      <w:bookmarkStart w:id="108" w:name="_Toc21829"/>
      <w:r>
        <w:rPr>
          <w:rFonts w:hint="eastAsia"/>
        </w:rPr>
        <w:t>7 附则</w:t>
      </w:r>
      <w:bookmarkEnd w:id="106"/>
      <w:bookmarkEnd w:id="107"/>
      <w:bookmarkEnd w:id="108"/>
    </w:p>
    <w:p w14:paraId="646510E0">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109" w:name="_Toc1377"/>
      <w:bookmarkStart w:id="110" w:name="_Toc26381"/>
      <w:bookmarkStart w:id="111" w:name="_Toc7372"/>
      <w:r>
        <w:rPr>
          <w:rFonts w:hint="eastAsia"/>
        </w:rPr>
        <w:t>7.1 预案管理与更新</w:t>
      </w:r>
      <w:bookmarkEnd w:id="109"/>
      <w:bookmarkEnd w:id="110"/>
      <w:bookmarkEnd w:id="111"/>
    </w:p>
    <w:p w14:paraId="7C2350D8">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本预案由</w:t>
      </w:r>
      <w:r>
        <w:rPr>
          <w:rFonts w:hint="eastAsia" w:ascii="CESI仿宋-GB2312" w:hAnsi="CESI仿宋-GB2312" w:eastAsia="CESI仿宋-GB2312" w:cs="CESI仿宋-GB2312"/>
          <w:i w:val="0"/>
          <w:caps w:val="0"/>
          <w:color w:val="000000" w:themeColor="text1"/>
          <w:spacing w:val="0"/>
          <w:sz w:val="32"/>
          <w:szCs w:val="32"/>
          <w:shd w:val="clear" w:fill="FFFFFF"/>
          <w:lang w:val="en-US" w:eastAsia="zh-CN"/>
          <w14:textFill>
            <w14:solidFill>
              <w14:schemeClr w14:val="tx1"/>
            </w14:solidFill>
          </w14:textFill>
        </w:rPr>
        <w:t>广灵</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县工信局会同</w:t>
      </w:r>
      <w:r>
        <w:rPr>
          <w:rFonts w:hint="eastAsia" w:ascii="CESI仿宋-GB2312" w:hAnsi="CESI仿宋-GB2312" w:eastAsia="CESI仿宋-GB2312" w:cs="CESI仿宋-GB2312"/>
          <w:i w:val="0"/>
          <w:caps w:val="0"/>
          <w:color w:val="000000" w:themeColor="text1"/>
          <w:spacing w:val="0"/>
          <w:sz w:val="32"/>
          <w:szCs w:val="32"/>
          <w:shd w:val="clear" w:fill="FFFFFF"/>
          <w:lang w:val="en-US" w:eastAsia="zh-CN"/>
          <w14:textFill>
            <w14:solidFill>
              <w14:schemeClr w14:val="tx1"/>
            </w14:solidFill>
          </w14:textFill>
        </w:rPr>
        <w:t>广灵县</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县政府有关部门制定，报县政府批准后实施。工信局应当适时召集有关部门和专家进</w:t>
      </w:r>
    </w:p>
    <w:p w14:paraId="746721B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right="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行评估，并根据情况变化做出相应修改后报县政府审批。</w:t>
      </w:r>
    </w:p>
    <w:p w14:paraId="6C76E6B4">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112" w:name="_Toc23047"/>
      <w:bookmarkStart w:id="113" w:name="_Toc16696"/>
      <w:bookmarkStart w:id="114" w:name="_Toc19854"/>
      <w:r>
        <w:rPr>
          <w:rFonts w:hint="eastAsia"/>
        </w:rPr>
        <w:t>7.2 宣传、培训和演练</w:t>
      </w:r>
      <w:bookmarkEnd w:id="112"/>
      <w:bookmarkEnd w:id="113"/>
      <w:bookmarkEnd w:id="114"/>
    </w:p>
    <w:p w14:paraId="20ABB23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各乡镇</w:t>
      </w:r>
      <w:bookmarkStart w:id="121" w:name="_GoBack"/>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、各</w:t>
      </w:r>
      <w:bookmarkEnd w:id="121"/>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部门和各通信运营企业应加强本预案的宣传。县工信局会同县政府有关部门制定本预案培训和演练计划，定期组织预案培训及演练。</w:t>
      </w:r>
    </w:p>
    <w:p w14:paraId="0348EA1C">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115" w:name="_Toc9335"/>
      <w:bookmarkStart w:id="116" w:name="_Toc3184"/>
      <w:bookmarkStart w:id="117" w:name="_Toc1907"/>
      <w:r>
        <w:rPr>
          <w:rFonts w:hint="eastAsia"/>
        </w:rPr>
        <w:t>7.3 预案解释部门</w:t>
      </w:r>
      <w:bookmarkEnd w:id="115"/>
      <w:bookmarkEnd w:id="116"/>
      <w:bookmarkEnd w:id="117"/>
    </w:p>
    <w:p w14:paraId="00CD7B0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本预案由</w:t>
      </w:r>
      <w:r>
        <w:rPr>
          <w:rFonts w:hint="eastAsia" w:ascii="CESI仿宋-GB2312" w:hAnsi="CESI仿宋-GB2312" w:eastAsia="CESI仿宋-GB2312" w:cs="CESI仿宋-GB2312"/>
          <w:i w:val="0"/>
          <w:caps w:val="0"/>
          <w:color w:val="000000" w:themeColor="text1"/>
          <w:spacing w:val="0"/>
          <w:sz w:val="32"/>
          <w:szCs w:val="32"/>
          <w:shd w:val="clear" w:fill="FFFFFF"/>
          <w:lang w:eastAsia="zh-CN"/>
          <w14:textFill>
            <w14:solidFill>
              <w14:schemeClr w14:val="tx1"/>
            </w14:solidFill>
          </w14:textFill>
        </w:rPr>
        <w:t>广灵县人民政府办公室会同广灵县工业和信息化局</w:t>
      </w: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负责解释。</w:t>
      </w:r>
    </w:p>
    <w:p w14:paraId="48CC4E0B">
      <w:pPr>
        <w:pStyle w:val="3"/>
        <w:keepNext w:val="0"/>
        <w:keepLines w:val="0"/>
        <w:pageBreakBefore w:val="0"/>
        <w:widowControl w:val="0"/>
        <w:kinsoku/>
        <w:wordWrap/>
        <w:overflowPunct w:val="0"/>
        <w:topLinePunct w:val="0"/>
        <w:autoSpaceDE/>
        <w:autoSpaceDN/>
        <w:bidi w:val="0"/>
        <w:adjustRightInd/>
        <w:snapToGrid/>
        <w:jc w:val="both"/>
        <w:textAlignment w:val="auto"/>
        <w:rPr>
          <w:rFonts w:hint="eastAsia"/>
        </w:rPr>
      </w:pPr>
      <w:bookmarkStart w:id="118" w:name="_Toc9888"/>
      <w:bookmarkStart w:id="119" w:name="_Toc26196"/>
      <w:bookmarkStart w:id="120" w:name="_Toc9214"/>
      <w:r>
        <w:rPr>
          <w:rFonts w:hint="eastAsia"/>
        </w:rPr>
        <w:t>7.4 预案生效</w:t>
      </w:r>
      <w:bookmarkEnd w:id="118"/>
      <w:bookmarkEnd w:id="119"/>
      <w:bookmarkEnd w:id="120"/>
    </w:p>
    <w:p w14:paraId="471AF127">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t>本预案自发布之日起生效。</w:t>
      </w:r>
    </w:p>
    <w:p w14:paraId="48EEC3F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2BE6419B">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6AB43BA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58CECE33">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2CE50C6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324C91A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603C0C07">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79225863">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069D632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0AA0305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31BDF2E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232F692F">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287D6D8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5129D16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5A620B9B">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26DE622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72DDDC6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523DB75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36284D5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5E8DF2F8">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77D13B6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04016C7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186A14D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40A2E6B7">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22DC351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382D28A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0451E02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7DDEE3F3">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53234B78">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355F014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308B15A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65C6E4F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16048CE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69023E63">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671F317F">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5C10844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4431CDF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1681B79F">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31D4AEE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3440676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p>
    <w:p w14:paraId="6CABB765">
      <w:pPr>
        <w:tabs>
          <w:tab w:val="left" w:pos="1191"/>
        </w:tabs>
        <w:bidi w:val="0"/>
        <w:jc w:val="left"/>
        <w:rPr>
          <w:rFonts w:hint="eastAsia" w:ascii="仿宋" w:hAnsi="仿宋" w:eastAsia="仿宋" w:cs="仿宋"/>
          <w:sz w:val="32"/>
          <w:szCs w:val="32"/>
          <w:lang w:val="en-US" w:eastAsia="zh-CN"/>
        </w:rPr>
      </w:pPr>
    </w:p>
    <w:p w14:paraId="340A16C9">
      <w:pPr>
        <w:tabs>
          <w:tab w:val="left" w:pos="1191"/>
        </w:tabs>
        <w:bidi w:val="0"/>
        <w:jc w:val="left"/>
        <w:rPr>
          <w:rFonts w:hint="eastAsia" w:ascii="仿宋" w:hAnsi="仿宋" w:eastAsia="仿宋" w:cs="仿宋"/>
          <w:sz w:val="18"/>
          <w:szCs w:val="18"/>
          <w:lang w:eastAsia="zh-CN"/>
        </w:rPr>
      </w:pPr>
      <w:r>
        <w:rPr>
          <w:sz w:val="18"/>
          <w:szCs w:val="18"/>
        </w:rPr>
        <mc:AlternateContent>
          <mc:Choice Requires="wps">
            <w:drawing>
              <wp:anchor distT="0" distB="0" distL="114300" distR="114300" simplePos="0" relativeHeight="251661312" behindDoc="0" locked="0" layoutInCell="1" allowOverlap="1">
                <wp:simplePos x="0" y="0"/>
                <wp:positionH relativeFrom="column">
                  <wp:posOffset>5818505</wp:posOffset>
                </wp:positionH>
                <wp:positionV relativeFrom="paragraph">
                  <wp:posOffset>9648825</wp:posOffset>
                </wp:positionV>
                <wp:extent cx="699770" cy="598805"/>
                <wp:effectExtent l="0" t="0" r="1905" b="5715"/>
                <wp:wrapNone/>
                <wp:docPr id="51" name="文本框 51"/>
                <wp:cNvGraphicFramePr/>
                <a:graphic xmlns:a="http://schemas.openxmlformats.org/drawingml/2006/main">
                  <a:graphicData uri="http://schemas.microsoft.com/office/word/2010/wordprocessingShape">
                    <wps:wsp>
                      <wps:cNvSpPr txBox="1"/>
                      <wps:spPr>
                        <a:xfrm>
                          <a:off x="0" y="0"/>
                          <a:ext cx="699770" cy="598805"/>
                        </a:xfrm>
                        <a:prstGeom prst="rect">
                          <a:avLst/>
                        </a:prstGeom>
                        <a:solidFill>
                          <a:srgbClr val="FFFFFF"/>
                        </a:solidFill>
                        <a:ln>
                          <a:noFill/>
                        </a:ln>
                        <a:effectLst/>
                      </wps:spPr>
                      <wps:txbx>
                        <w:txbxContent>
                          <w:p w14:paraId="26E7C267"/>
                        </w:txbxContent>
                      </wps:txbx>
                      <wps:bodyPr vert="eaVert" upright="1"/>
                    </wps:wsp>
                  </a:graphicData>
                </a:graphic>
              </wp:anchor>
            </w:drawing>
          </mc:Choice>
          <mc:Fallback>
            <w:pict>
              <v:shape id="_x0000_s1026" o:spid="_x0000_s1026" o:spt="202" type="#_x0000_t202" style="position:absolute;left:0pt;margin-left:458.15pt;margin-top:759.75pt;height:47.15pt;width:55.1pt;z-index:251661312;mso-width-relative:page;mso-height-relative:page;" fillcolor="#FFFFFF" filled="t" stroked="f" coordsize="21600,21600" o:gfxdata="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vVfYX3AAAAA4BAAAPAAAAAAAAAAEAIAAA&#10;ACIAAABkcnMvZG93bnJldi54bWxQSwECFAAUAAAACACHTuJA2bkZJ88BAACUAwAADgAAAAAAAAAB&#10;ACAAAAArAQAAZHJzL2Uyb0RvYy54bWxQSwUGAAAAAAYABgBZAQAAbAUAAAAA&#10;">
                <v:fill on="t" focussize="0,0"/>
                <v:stroke on="f"/>
                <v:imagedata o:title=""/>
                <o:lock v:ext="edit" aspectratio="f"/>
                <v:textbox style="layout-flow:vertical-ideographic;">
                  <w:txbxContent>
                    <w:p w14:paraId="26E7C267"/>
                  </w:txbxContent>
                </v:textbox>
              </v:shape>
            </w:pict>
          </mc:Fallback>
        </mc:AlternateContent>
      </w:r>
      <w:r>
        <w:rPr>
          <w:sz w:val="18"/>
          <w:szCs w:val="18"/>
        </w:rPr>
        <mc:AlternateContent>
          <mc:Choice Requires="wps">
            <w:drawing>
              <wp:anchor distT="0" distB="0" distL="114300" distR="114300" simplePos="0" relativeHeight="251663360" behindDoc="0" locked="0" layoutInCell="1" allowOverlap="1">
                <wp:simplePos x="0" y="0"/>
                <wp:positionH relativeFrom="column">
                  <wp:posOffset>5818505</wp:posOffset>
                </wp:positionH>
                <wp:positionV relativeFrom="paragraph">
                  <wp:posOffset>9648825</wp:posOffset>
                </wp:positionV>
                <wp:extent cx="699770" cy="598805"/>
                <wp:effectExtent l="0" t="0" r="1905" b="5715"/>
                <wp:wrapNone/>
                <wp:docPr id="54" name="文本框 54"/>
                <wp:cNvGraphicFramePr/>
                <a:graphic xmlns:a="http://schemas.openxmlformats.org/drawingml/2006/main">
                  <a:graphicData uri="http://schemas.microsoft.com/office/word/2010/wordprocessingShape">
                    <wps:wsp>
                      <wps:cNvSpPr txBox="1"/>
                      <wps:spPr>
                        <a:xfrm>
                          <a:off x="0" y="0"/>
                          <a:ext cx="699770" cy="598805"/>
                        </a:xfrm>
                        <a:prstGeom prst="rect">
                          <a:avLst/>
                        </a:prstGeom>
                        <a:solidFill>
                          <a:srgbClr val="FFFFFF"/>
                        </a:solidFill>
                        <a:ln>
                          <a:noFill/>
                        </a:ln>
                        <a:effectLst/>
                      </wps:spPr>
                      <wps:txbx>
                        <w:txbxContent>
                          <w:p w14:paraId="5FC261A0"/>
                        </w:txbxContent>
                      </wps:txbx>
                      <wps:bodyPr vert="eaVert" upright="1"/>
                    </wps:wsp>
                  </a:graphicData>
                </a:graphic>
              </wp:anchor>
            </w:drawing>
          </mc:Choice>
          <mc:Fallback>
            <w:pict>
              <v:shape id="_x0000_s1026" o:spid="_x0000_s1026" o:spt="202" type="#_x0000_t202" style="position:absolute;left:0pt;margin-left:458.15pt;margin-top:759.75pt;height:47.15pt;width:55.1pt;z-index:251663360;mso-width-relative:page;mso-height-relative:page;" fillcolor="#FFFFFF" filled="t" stroked="f" coordsize="21600,21600" o:gfxdata="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vVfYX3AAAAA4BAAAPAAAAAAAAAAEAIAAA&#10;ACIAAABkcnMvZG93bnJldi54bWxQSwECFAAUAAAACACHTuJABnUf1M8BAACUAwAADgAAAAAAAAAB&#10;ACAAAAArAQAAZHJzL2Uyb0RvYy54bWxQSwUGAAAAAAYABgBZAQAAbAUAAAAA&#10;">
                <v:fill on="t" focussize="0,0"/>
                <v:stroke on="f"/>
                <v:imagedata o:title=""/>
                <o:lock v:ext="edit" aspectratio="f"/>
                <v:textbox style="layout-flow:vertical-ideographic;">
                  <w:txbxContent>
                    <w:p w14:paraId="5FC261A0"/>
                  </w:txbxContent>
                </v:textbox>
              </v:shape>
            </w:pict>
          </mc:Fallback>
        </mc:AlternateContent>
      </w:r>
    </w:p>
    <w:p w14:paraId="2C7CED67">
      <w:pPr>
        <w:rPr>
          <w:rFonts w:hint="eastAsia" w:ascii="CESI仿宋-GB2312" w:hAnsi="CESI仿宋-GB2312" w:eastAsia="CESI仿宋-GB2312" w:cs="CESI仿宋-GB2312"/>
          <w:i w:val="0"/>
          <w:caps w:val="0"/>
          <w:color w:val="000000" w:themeColor="text1"/>
          <w:spacing w:val="0"/>
          <w:sz w:val="32"/>
          <w:szCs w:val="32"/>
          <w:shd w:val="clear" w:fill="FFFFFF"/>
          <w14:textFill>
            <w14:solidFill>
              <w14:schemeClr w14:val="tx1"/>
            </w14:solidFill>
          </w14:textFill>
        </w:rPr>
      </w:pPr>
      <w:r>
        <w:rPr>
          <w:rFonts w:hint="default" w:ascii="方正小标宋简体" w:hAnsi="方正小标宋简体" w:eastAsia="方正小标宋简体" w:cs="方正小标宋简体"/>
          <w:sz w:val="32"/>
          <w:szCs w:val="32"/>
          <w:lang w:val="en-US" w:eastAsia="zh-CN"/>
        </w:rPr>
        <w:drawing>
          <wp:anchor distT="0" distB="0" distL="114300" distR="114300" simplePos="0" relativeHeight="251666432" behindDoc="0" locked="0" layoutInCell="1" allowOverlap="1">
            <wp:simplePos x="0" y="0"/>
            <wp:positionH relativeFrom="column">
              <wp:posOffset>-69215</wp:posOffset>
            </wp:positionH>
            <wp:positionV relativeFrom="paragraph">
              <wp:posOffset>428625</wp:posOffset>
            </wp:positionV>
            <wp:extent cx="790575" cy="603885"/>
            <wp:effectExtent l="0" t="0" r="8255" b="635"/>
            <wp:wrapNone/>
            <wp:docPr id="5" name="图片 5"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1"/>
                    <pic:cNvPicPr>
                      <a:picLocks noChangeAspect="1"/>
                    </pic:cNvPicPr>
                  </pic:nvPicPr>
                  <pic:blipFill>
                    <a:blip r:embed="rId5"/>
                    <a:stretch>
                      <a:fillRect/>
                    </a:stretch>
                  </pic:blipFill>
                  <pic:spPr>
                    <a:xfrm>
                      <a:off x="0" y="0"/>
                      <a:ext cx="790575" cy="603885"/>
                    </a:xfrm>
                    <a:prstGeom prst="rect">
                      <a:avLst/>
                    </a:prstGeom>
                  </pic:spPr>
                </pic:pic>
              </a:graphicData>
            </a:graphic>
          </wp:anchor>
        </w:drawing>
      </w:r>
      <w:r>
        <w:rPr>
          <w:sz w:val="18"/>
        </w:rPr>
        <mc:AlternateContent>
          <mc:Choice Requires="wps">
            <w:drawing>
              <wp:anchor distT="0" distB="0" distL="114300" distR="114300" simplePos="0" relativeHeight="251664384" behindDoc="0" locked="0" layoutInCell="1" allowOverlap="1">
                <wp:simplePos x="0" y="0"/>
                <wp:positionH relativeFrom="column">
                  <wp:posOffset>-264160</wp:posOffset>
                </wp:positionH>
                <wp:positionV relativeFrom="paragraph">
                  <wp:posOffset>509905</wp:posOffset>
                </wp:positionV>
                <wp:extent cx="1079500" cy="890270"/>
                <wp:effectExtent l="0" t="0" r="0" b="0"/>
                <wp:wrapNone/>
                <wp:docPr id="59" name="矩形 59"/>
                <wp:cNvGraphicFramePr/>
                <a:graphic xmlns:a="http://schemas.openxmlformats.org/drawingml/2006/main">
                  <a:graphicData uri="http://schemas.microsoft.com/office/word/2010/wordprocessingShape">
                    <wps:wsp>
                      <wps:cNvSpPr/>
                      <wps:spPr>
                        <a:xfrm>
                          <a:off x="2215515" y="3726815"/>
                          <a:ext cx="1079500" cy="890270"/>
                        </a:xfrm>
                        <a:prstGeom prst="rect">
                          <a:avLst/>
                        </a:prstGeom>
                        <a:noFill/>
                        <a:ln w="6350" cap="flat" cmpd="sng" algn="ctr">
                          <a:noFill/>
                          <a:prstDash val="dash"/>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8pt;margin-top:40.15pt;height:70.1pt;width:85pt;z-index:251664384;v-text-anchor:middle;mso-width-relative:page;mso-height-relative:page;" filled="f" stroked="f" coordsize="21600,21600" o:gfxdata="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o6Aju9oAAAAKAQAADwAAAAAAAAABACAAAAAiAAAAZHJzL2Rvd25yZXYu&#10;eG1sUEsBAhQAFAAAAAgAh07iQFJqXQxrAgAAvAQAAA4AAAAAAAAAAQAgAAAAKQEAAGRycy9lMm9E&#10;b2MueG1sUEsFBgAAAAAGAAYAWQEAAAYGAAAAAA==&#10;">
                <v:fill on="f" focussize="0,0"/>
                <v:stroke on="f" weight="0.5pt" miterlimit="8" joinstyle="miter" dashstyle="dash"/>
                <v:imagedata o:title=""/>
                <o:lock v:ext="edit" aspectratio="f"/>
              </v:rect>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28575</wp:posOffset>
                </wp:positionV>
                <wp:extent cx="5372100" cy="0"/>
                <wp:effectExtent l="0" t="4445" r="0" b="5080"/>
                <wp:wrapNone/>
                <wp:docPr id="45" name="直接连接符 45"/>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pt;margin-top:2.25pt;height:0pt;width:423pt;z-index:251660288;mso-width-relative:page;mso-height-relative:page;" filled="f" stroked="t" coordsize="21600,21600" o:gfxdata="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Rcu101AAAAAcBAAAPAAAAAAAAAAEAIAAAACIAAABkcnMvZG93bnJldi54bWxQ&#10;SwECFAAUAAAACACHTuJAQMNtaPsBAAD0AwAADgAAAAAAAAABACAAAAAjAQAAZHJzL2Uyb0RvYy54&#10;bWxQSwUGAAAAAAYABgBZAQAAkA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363855</wp:posOffset>
                </wp:positionV>
                <wp:extent cx="5372100" cy="0"/>
                <wp:effectExtent l="0" t="4445" r="0" b="5080"/>
                <wp:wrapNone/>
                <wp:docPr id="46" name="直接连接符 46"/>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pt;margin-top:28.65pt;height:0pt;width:423pt;z-index:251659264;mso-width-relative:page;mso-height-relative:page;" filled="f" stroked="t" coordsize="21600,21600" o:gfxdata="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5z7ljWAAAACQEAAA8AAAAAAAAAAQAgAAAAIgAAAGRycy9kb3ducmV2Lnht&#10;bFBLAQIUABQAAAAIAIdO4kCdrhHh+wEAAPQDAAAOAAAAAAAAAAEAIAAAACUBAABkcnMvZTJvRG9j&#10;LnhtbFBLBQYAAAAABgAGAFkBAACSBQAAAAA=&#10;">
                <v:fill on="f" focussize="0,0"/>
                <v:stroke color="#000000" joinstyle="round"/>
                <v:imagedata o:title=""/>
                <o:lock v:ext="edit" aspectratio="f"/>
              </v:line>
            </w:pict>
          </mc:Fallback>
        </mc:AlternateContent>
      </w:r>
      <w:r>
        <w:rPr>
          <w:rFonts w:hint="eastAsia" w:ascii="仿宋_GB2312" w:hAnsi="仿宋" w:eastAsia="仿宋_GB2312" w:cs="仿宋"/>
          <w:sz w:val="30"/>
          <w:szCs w:val="30"/>
        </w:rPr>
        <w:t>广灵</w:t>
      </w:r>
      <w:r>
        <w:rPr>
          <w:sz w:val="18"/>
          <w:szCs w:val="18"/>
        </w:rPr>
        <mc:AlternateContent>
          <mc:Choice Requires="wps">
            <w:drawing>
              <wp:anchor distT="0" distB="0" distL="114300" distR="114300" simplePos="0" relativeHeight="251662336" behindDoc="0" locked="0" layoutInCell="1" allowOverlap="1">
                <wp:simplePos x="0" y="0"/>
                <wp:positionH relativeFrom="column">
                  <wp:posOffset>1069340</wp:posOffset>
                </wp:positionH>
                <wp:positionV relativeFrom="paragraph">
                  <wp:posOffset>9828530</wp:posOffset>
                </wp:positionV>
                <wp:extent cx="699770" cy="598805"/>
                <wp:effectExtent l="0" t="0" r="1905" b="5715"/>
                <wp:wrapNone/>
                <wp:docPr id="52" name="文本框 52"/>
                <wp:cNvGraphicFramePr/>
                <a:graphic xmlns:a="http://schemas.openxmlformats.org/drawingml/2006/main">
                  <a:graphicData uri="http://schemas.microsoft.com/office/word/2010/wordprocessingShape">
                    <wps:wsp>
                      <wps:cNvSpPr txBox="1"/>
                      <wps:spPr>
                        <a:xfrm>
                          <a:off x="0" y="0"/>
                          <a:ext cx="699770" cy="598805"/>
                        </a:xfrm>
                        <a:prstGeom prst="rect">
                          <a:avLst/>
                        </a:prstGeom>
                        <a:solidFill>
                          <a:srgbClr val="FFFFFF"/>
                        </a:solidFill>
                        <a:ln>
                          <a:noFill/>
                        </a:ln>
                        <a:effectLst/>
                      </wps:spPr>
                      <wps:txbx>
                        <w:txbxContent>
                          <w:p w14:paraId="23DBB925"/>
                        </w:txbxContent>
                      </wps:txbx>
                      <wps:bodyPr vert="eaVert" upright="1"/>
                    </wps:wsp>
                  </a:graphicData>
                </a:graphic>
              </wp:anchor>
            </w:drawing>
          </mc:Choice>
          <mc:Fallback>
            <w:pict>
              <v:shape id="_x0000_s1026" o:spid="_x0000_s1026" o:spt="202" type="#_x0000_t202" style="position:absolute;left:0pt;margin-left:84.2pt;margin-top:773.9pt;height:47.15pt;width:55.1pt;z-index:251662336;mso-width-relative:page;mso-height-relative:page;" fillcolor="#FFFFFF" filled="t" stroked="f" coordsize="21600,21600" o:gfxdata="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vtsY7bAAAADQEAAA8AAAAAAAAAAQAgAAAA&#10;IgAAAGRycy9kb3ducmV2LnhtbFBLAQIUABQAAAAIAIdO4kBTAMvAzwEAAJQDAAAOAAAAAAAAAAEA&#10;IAAAACoBAABkcnMvZTJvRG9jLnhtbFBLBQYAAAAABgAGAFkBAABrBQAAAAA=&#10;">
                <v:fill on="t" focussize="0,0"/>
                <v:stroke on="f"/>
                <v:imagedata o:title=""/>
                <o:lock v:ext="edit" aspectratio="f"/>
                <v:textbox style="layout-flow:vertical-ideographic;">
                  <w:txbxContent>
                    <w:p w14:paraId="23DBB925"/>
                  </w:txbxContent>
                </v:textbox>
              </v:shape>
            </w:pict>
          </mc:Fallback>
        </mc:AlternateContent>
      </w:r>
      <w:r>
        <w:rPr>
          <w:rFonts w:hint="eastAsia" w:ascii="仿宋_GB2312" w:hAnsi="仿宋" w:eastAsia="仿宋_GB2312" w:cs="仿宋"/>
          <w:sz w:val="30"/>
          <w:szCs w:val="30"/>
        </w:rPr>
        <w:t>县人民政府办公室</w:t>
      </w:r>
      <w:r>
        <w:rPr>
          <w:rFonts w:ascii="仿宋_GB2312" w:hAnsi="仿宋" w:eastAsia="仿宋_GB2312" w:cs="仿宋"/>
          <w:sz w:val="30"/>
          <w:szCs w:val="30"/>
        </w:rPr>
        <w:t xml:space="preserve">             202</w:t>
      </w:r>
      <w:r>
        <w:rPr>
          <w:rFonts w:hint="eastAsia" w:ascii="仿宋_GB2312" w:hAnsi="仿宋" w:eastAsia="仿宋_GB2312" w:cs="仿宋"/>
          <w:sz w:val="30"/>
          <w:szCs w:val="30"/>
          <w:lang w:val="en-US" w:eastAsia="zh-CN"/>
        </w:rPr>
        <w:t>5</w:t>
      </w:r>
      <w:r>
        <w:rPr>
          <w:rFonts w:hint="eastAsia" w:ascii="仿宋_GB2312" w:hAnsi="仿宋" w:eastAsia="仿宋_GB2312" w:cs="仿宋"/>
          <w:sz w:val="30"/>
          <w:szCs w:val="30"/>
        </w:rPr>
        <w:t>年</w:t>
      </w:r>
      <w:r>
        <w:rPr>
          <w:rFonts w:hint="eastAsia" w:ascii="仿宋_GB2312" w:hAnsi="仿宋" w:eastAsia="仿宋_GB2312" w:cs="仿宋"/>
          <w:sz w:val="30"/>
          <w:szCs w:val="30"/>
          <w:lang w:val="en-US" w:eastAsia="zh-CN"/>
        </w:rPr>
        <w:t>1</w:t>
      </w:r>
      <w:r>
        <w:rPr>
          <w:rFonts w:hint="eastAsia" w:ascii="仿宋_GB2312" w:hAnsi="仿宋" w:eastAsia="仿宋_GB2312" w:cs="仿宋"/>
          <w:sz w:val="30"/>
          <w:szCs w:val="30"/>
        </w:rPr>
        <w:t>月</w:t>
      </w:r>
      <w:r>
        <w:rPr>
          <w:rFonts w:hint="eastAsia" w:ascii="仿宋_GB2312" w:hAnsi="仿宋" w:eastAsia="仿宋_GB2312" w:cs="仿宋"/>
          <w:sz w:val="30"/>
          <w:szCs w:val="30"/>
          <w:lang w:val="en-US" w:eastAsia="zh-CN"/>
        </w:rPr>
        <w:t>17</w:t>
      </w:r>
      <w:r>
        <w:rPr>
          <w:rFonts w:hint="eastAsia" w:ascii="仿宋_GB2312" w:hAnsi="仿宋" w:eastAsia="仿宋_GB2312" w:cs="仿宋"/>
          <w:sz w:val="30"/>
          <w:szCs w:val="30"/>
        </w:rPr>
        <w:t>日</w:t>
      </w:r>
      <w:r>
        <w:rPr>
          <w:rFonts w:hint="eastAsia" w:ascii="仿宋_GB2312" w:hAnsi="仿宋" w:eastAsia="仿宋_GB2312" w:cs="仿宋"/>
          <w:sz w:val="30"/>
          <w:szCs w:val="30"/>
          <w:lang w:val="en-US" w:eastAsia="zh-CN"/>
        </w:rPr>
        <w:t xml:space="preserve"> </w:t>
      </w:r>
      <w:r>
        <w:rPr>
          <w:rFonts w:hint="eastAsia" w:ascii="仿宋_GB2312" w:hAnsi="仿宋" w:eastAsia="仿宋_GB2312" w:cs="仿宋"/>
          <w:sz w:val="30"/>
          <w:szCs w:val="30"/>
        </w:rPr>
        <w:t>印发</w:t>
      </w:r>
    </w:p>
    <w:sectPr>
      <w:footerReference r:id="rId3" w:type="default"/>
      <w:pgSz w:w="11906" w:h="16838"/>
      <w:pgMar w:top="1440" w:right="1701" w:bottom="1440" w:left="1701"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B157C">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0B6A7B">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E0B6A7B">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341450"/>
    <w:rsid w:val="10566216"/>
    <w:rsid w:val="13827D5A"/>
    <w:rsid w:val="15636B56"/>
    <w:rsid w:val="1A1932D3"/>
    <w:rsid w:val="22632575"/>
    <w:rsid w:val="27F604AB"/>
    <w:rsid w:val="2BC34306"/>
    <w:rsid w:val="3396440A"/>
    <w:rsid w:val="34683C44"/>
    <w:rsid w:val="464806C1"/>
    <w:rsid w:val="4FDF1F0B"/>
    <w:rsid w:val="57283FD4"/>
    <w:rsid w:val="57B7DCC5"/>
    <w:rsid w:val="5B0D226B"/>
    <w:rsid w:val="63780255"/>
    <w:rsid w:val="63C948C4"/>
    <w:rsid w:val="65293EFC"/>
    <w:rsid w:val="6F7F2E4F"/>
    <w:rsid w:val="78E671FC"/>
    <w:rsid w:val="7D97695F"/>
    <w:rsid w:val="7DDA3AE2"/>
    <w:rsid w:val="7F24137F"/>
    <w:rsid w:val="7FFFD9EB"/>
    <w:rsid w:val="ADA9FFA5"/>
    <w:rsid w:val="BEDF8188"/>
    <w:rsid w:val="BFDA24BC"/>
    <w:rsid w:val="DC7E0E81"/>
    <w:rsid w:val="EF29531C"/>
    <w:rsid w:val="F3F18E0A"/>
    <w:rsid w:val="F3F704BB"/>
    <w:rsid w:val="FF0E88F6"/>
    <w:rsid w:val="FFFF52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ind w:firstLine="883" w:firstLineChars="200"/>
      <w:outlineLvl w:val="0"/>
    </w:pPr>
    <w:rPr>
      <w:rFonts w:ascii="黑体" w:hAnsi="黑体" w:eastAsia="黑体"/>
      <w:kern w:val="44"/>
      <w:sz w:val="32"/>
    </w:rPr>
  </w:style>
  <w:style w:type="paragraph" w:styleId="3">
    <w:name w:val="heading 2"/>
    <w:basedOn w:val="1"/>
    <w:next w:val="1"/>
    <w:unhideWhenUsed/>
    <w:qFormat/>
    <w:uiPriority w:val="0"/>
    <w:pPr>
      <w:keepNext/>
      <w:keepLines/>
      <w:spacing w:beforeLines="0" w:beforeAutospacing="0" w:afterLines="0" w:afterAutospacing="0" w:line="560" w:lineRule="exact"/>
      <w:ind w:firstLine="883" w:firstLineChars="200"/>
      <w:outlineLvl w:val="1"/>
    </w:pPr>
    <w:rPr>
      <w:rFonts w:ascii="楷体" w:hAnsi="楷体" w:eastAsia="楷体_GB2312"/>
      <w:sz w:val="32"/>
    </w:rPr>
  </w:style>
  <w:style w:type="paragraph" w:styleId="4">
    <w:name w:val="heading 3"/>
    <w:basedOn w:val="1"/>
    <w:next w:val="1"/>
    <w:unhideWhenUsed/>
    <w:qFormat/>
    <w:uiPriority w:val="0"/>
    <w:pPr>
      <w:keepNext/>
      <w:keepLines/>
      <w:spacing w:beforeLines="0" w:beforeAutospacing="0" w:afterLines="0" w:afterAutospacing="0" w:line="560" w:lineRule="exact"/>
      <w:ind w:firstLine="883" w:firstLineChars="200"/>
      <w:outlineLvl w:val="2"/>
    </w:pPr>
    <w:rPr>
      <w:rFonts w:ascii="仿宋_GB2312" w:hAnsi="仿宋_GB2312" w:eastAsia="仿宋_GB2312"/>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spacing w:line="560" w:lineRule="exact"/>
    </w:pPr>
    <w:rPr>
      <w:rFonts w:ascii="Times New Roman" w:hAnsi="Times New Roman" w:eastAsia="黑体"/>
      <w:sz w:val="28"/>
    </w:rPr>
  </w:style>
  <w:style w:type="paragraph" w:styleId="9">
    <w:name w:val="toc 2"/>
    <w:basedOn w:val="1"/>
    <w:next w:val="1"/>
    <w:qFormat/>
    <w:uiPriority w:val="0"/>
    <w:pPr>
      <w:ind w:left="420" w:leftChars="200"/>
    </w:p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3">
    <w:name w:val="WPSOffice手动目录 1"/>
    <w:qFormat/>
    <w:uiPriority w:val="0"/>
    <w:pPr>
      <w:ind w:leftChars="0"/>
    </w:pPr>
    <w:rPr>
      <w:rFonts w:ascii="Times New Roman" w:hAnsi="Times New Roman" w:eastAsia="宋体" w:cs="Times New Roman"/>
      <w:sz w:val="20"/>
      <w:szCs w:val="20"/>
    </w:rPr>
  </w:style>
  <w:style w:type="paragraph" w:customStyle="1" w:styleId="14">
    <w:name w:val="WPSOffice手动目录 2"/>
    <w:qFormat/>
    <w:uiPriority w:val="0"/>
    <w:pPr>
      <w:ind w:leftChars="200"/>
    </w:pPr>
    <w:rPr>
      <w:rFonts w:ascii="Times New Roman" w:hAnsi="Times New Roman" w:eastAsia="宋体" w:cs="Times New Roman"/>
      <w:sz w:val="20"/>
      <w:szCs w:val="20"/>
    </w:rPr>
  </w:style>
  <w:style w:type="paragraph" w:customStyle="1" w:styleId="15">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8464</Words>
  <Characters>8614</Characters>
  <Lines>0</Lines>
  <Paragraphs>0</Paragraphs>
  <TotalTime>33</TotalTime>
  <ScaleCrop>false</ScaleCrop>
  <LinksUpToDate>false</LinksUpToDate>
  <CharactersWithSpaces>8690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2014-11-01T12:08:00Z</dcterms:created>
  <dc:creator>Administrator</dc:creator>
  <cp:lastModifiedBy>搬运工</cp:lastModifiedBy>
  <cp:lastPrinted>2025-04-03T03:27:00Z</cp:lastPrinted>
  <dcterms:modified xsi:type="dcterms:W3CDTF">2025-04-03T08:47:35Z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5260E5ADCF064F6E9B6A475B32793729_13</vt:lpwstr>
  </property>
  <property fmtid="{D5CDD505-2E9C-101B-9397-08002B2CF9AE}" pid="4" name="KSOTemplateDocerSaveRecord">
    <vt:lpwstr>eyJoZGlkIjoiNjdlYzI4ODMxYjYyNDMxOTczOTRkZGYwYWJkYzIyMDIiLCJ1c2VySWQiOiI1MjE5NDc4In0=</vt:lpwstr>
  </property>
</Properties>
</file>