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ind w:firstLine="560"/>
        <w:rPr>
          <w:color w:val="FF0000"/>
        </w:rPr>
      </w:pPr>
    </w:p>
    <w:p>
      <w:pPr>
        <w:spacing w:line="240" w:lineRule="exact"/>
        <w:ind w:firstLine="560"/>
        <w:rPr>
          <w:color w:val="FF0000"/>
        </w:rPr>
      </w:pPr>
    </w:p>
    <w:p>
      <w:pPr>
        <w:spacing w:line="240" w:lineRule="exact"/>
        <w:ind w:firstLine="560"/>
        <w:rPr>
          <w:color w:val="FF0000"/>
        </w:rPr>
      </w:pPr>
    </w:p>
    <w:p>
      <w:pPr>
        <w:ind w:firstLine="0" w:firstLineChars="0"/>
        <w:jc w:val="center"/>
        <w:rPr>
          <w:rFonts w:ascii="方正大标宋_GBK" w:eastAsia="方正大标宋_GBK"/>
          <w:w w:val="80"/>
          <w:sz w:val="44"/>
          <w:szCs w:val="44"/>
        </w:rPr>
      </w:pPr>
      <w:r>
        <w:rPr>
          <w:rFonts w:hint="eastAsia" w:ascii="方正大标宋_GBK" w:eastAsia="方正大标宋_GBK"/>
          <w:w w:val="80"/>
          <w:sz w:val="44"/>
          <w:szCs w:val="44"/>
        </w:rPr>
        <w:t>2023年广灵县国民经济和社会发展</w:t>
      </w:r>
    </w:p>
    <w:p>
      <w:pPr>
        <w:ind w:firstLine="0" w:firstLineChars="0"/>
        <w:jc w:val="center"/>
        <w:rPr>
          <w:rFonts w:ascii="方正大标宋_GBK" w:eastAsia="方正大标宋_GBK"/>
          <w:sz w:val="84"/>
          <w:szCs w:val="84"/>
        </w:rPr>
      </w:pPr>
      <w:r>
        <w:rPr>
          <w:rFonts w:hint="eastAsia" w:ascii="方正大标宋_GBK" w:eastAsia="方正大标宋_GBK"/>
          <w:sz w:val="84"/>
          <w:szCs w:val="84"/>
        </w:rPr>
        <w:t>统计公报</w:t>
      </w:r>
    </w:p>
    <w:p>
      <w:pPr>
        <w:ind w:firstLine="560"/>
      </w:pPr>
    </w:p>
    <w:p>
      <w:pPr>
        <w:ind w:firstLine="560"/>
      </w:pPr>
    </w:p>
    <w:p>
      <w:pPr>
        <w:ind w:firstLine="0" w:firstLineChars="0"/>
        <w:jc w:val="center"/>
      </w:pPr>
      <w:r>
        <w:drawing>
          <wp:inline distT="0" distB="0" distL="0" distR="0">
            <wp:extent cx="1807845" cy="1702435"/>
            <wp:effectExtent l="0" t="0" r="0" b="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15" cstate="print"/>
                    <a:srcRect/>
                    <a:stretch>
                      <a:fillRect/>
                    </a:stretch>
                  </pic:blipFill>
                  <pic:spPr>
                    <a:xfrm>
                      <a:off x="0" y="0"/>
                      <a:ext cx="1807845" cy="1702435"/>
                    </a:xfrm>
                    <a:prstGeom prst="rect">
                      <a:avLst/>
                    </a:prstGeom>
                    <a:ln>
                      <a:noFill/>
                    </a:ln>
                  </pic:spPr>
                </pic:pic>
              </a:graphicData>
            </a:graphic>
          </wp:inline>
        </w:drawing>
      </w:r>
    </w:p>
    <w:p>
      <w:pPr>
        <w:ind w:firstLine="560"/>
      </w:pPr>
    </w:p>
    <w:p>
      <w:pPr>
        <w:ind w:firstLine="560"/>
      </w:pPr>
    </w:p>
    <w:p>
      <w:pPr>
        <w:spacing w:line="400" w:lineRule="exact"/>
        <w:ind w:firstLine="0" w:firstLineChars="0"/>
        <w:jc w:val="center"/>
        <w:rPr>
          <w:rFonts w:ascii="黑体" w:hAnsi="黑体" w:eastAsia="黑体" w:cs="黑体"/>
        </w:rPr>
      </w:pPr>
      <w:r>
        <w:rPr>
          <w:rFonts w:hint="eastAsia" w:ascii="黑体" w:hAnsi="黑体" w:eastAsia="黑体" w:cs="黑体"/>
        </w:rPr>
        <w:t>广灵县统计局</w:t>
      </w:r>
    </w:p>
    <w:p>
      <w:pPr>
        <w:spacing w:line="400" w:lineRule="exact"/>
        <w:ind w:firstLine="0" w:firstLineChars="0"/>
        <w:jc w:val="center"/>
        <w:rPr>
          <w:rFonts w:ascii="黑体" w:hAnsi="黑体" w:eastAsia="黑体" w:cs="黑体"/>
        </w:rPr>
      </w:pPr>
      <w:r>
        <w:rPr>
          <w:rFonts w:hint="eastAsia" w:ascii="黑体" w:hAnsi="黑体" w:eastAsia="黑体" w:cs="黑体"/>
        </w:rPr>
        <w:t>2024年2月</w:t>
      </w:r>
    </w:p>
    <w:p>
      <w:pPr>
        <w:ind w:firstLine="560"/>
        <w:rPr>
          <w:color w:val="FF0000"/>
        </w:rPr>
      </w:pPr>
    </w:p>
    <w:p>
      <w:pPr>
        <w:ind w:firstLine="560"/>
        <w:rPr>
          <w:color w:val="FF0000"/>
        </w:rPr>
        <w:sectPr>
          <w:footerReference r:id="rId9" w:type="first"/>
          <w:headerReference r:id="rId5" w:type="default"/>
          <w:footerReference r:id="rId7" w:type="default"/>
          <w:headerReference r:id="rId6" w:type="even"/>
          <w:footerReference r:id="rId8" w:type="even"/>
          <w:pgSz w:w="8392" w:h="11907"/>
          <w:pgMar w:top="1304" w:right="1134" w:bottom="1134" w:left="1134" w:header="851" w:footer="851" w:gutter="0"/>
          <w:cols w:space="720" w:num="1"/>
          <w:docGrid w:type="lines" w:linePitch="312" w:charSpace="0"/>
        </w:sectPr>
      </w:pPr>
    </w:p>
    <w:p>
      <w:pPr>
        <w:spacing w:line="240" w:lineRule="exact"/>
        <w:ind w:firstLine="560"/>
        <w:rPr>
          <w:color w:val="FF0000"/>
        </w:rPr>
      </w:pPr>
    </w:p>
    <w:p>
      <w:pPr>
        <w:spacing w:line="240" w:lineRule="exact"/>
        <w:ind w:firstLine="560"/>
        <w:rPr>
          <w:color w:val="FF0000"/>
        </w:rPr>
      </w:pPr>
    </w:p>
    <w:p>
      <w:pPr>
        <w:pStyle w:val="11"/>
        <w:spacing w:line="400" w:lineRule="exact"/>
      </w:pPr>
      <w:r>
        <w:t>2</w:t>
      </w:r>
      <w:r>
        <w:rPr>
          <w:rFonts w:hint="eastAsia"/>
        </w:rPr>
        <w:t>023</w:t>
      </w:r>
      <w:r>
        <w:t>年</w:t>
      </w:r>
      <w:r>
        <w:rPr>
          <w:rFonts w:hint="eastAsia"/>
        </w:rPr>
        <w:t>广灵</w:t>
      </w:r>
      <w:r>
        <w:t>县国民经济和社会发展</w:t>
      </w:r>
    </w:p>
    <w:p>
      <w:pPr>
        <w:pStyle w:val="11"/>
        <w:spacing w:line="400" w:lineRule="exact"/>
      </w:pPr>
      <w:r>
        <w:t>统</w:t>
      </w:r>
      <w:r>
        <w:rPr>
          <w:rFonts w:hint="eastAsia"/>
        </w:rPr>
        <w:t xml:space="preserve"> 计 公 报</w:t>
      </w:r>
    </w:p>
    <w:p>
      <w:pPr>
        <w:ind w:firstLine="560"/>
      </w:pPr>
    </w:p>
    <w:p>
      <w:pPr>
        <w:spacing w:line="560" w:lineRule="exact"/>
        <w:ind w:firstLine="560"/>
        <w:rPr>
          <w:rFonts w:hint="eastAsia" w:ascii="仿宋_GB2312" w:eastAsia="仿宋_GB2312"/>
          <w:szCs w:val="28"/>
        </w:rPr>
      </w:pPr>
      <w:r>
        <w:rPr>
          <w:rFonts w:hint="eastAsia" w:ascii="仿宋_GB2312" w:eastAsia="仿宋_GB2312"/>
          <w:szCs w:val="28"/>
        </w:rPr>
        <w:t>2023年在县委县政府的坚强领导下，全县上下坚持以习近平新时代中国特色社会主义思想为指导，深入学习贯彻党的二十大精神，认真学习贯彻习近平总书记视察山西重要讲话重要指示精神，聚焦省委赋予大同“对接京津冀、打造桥头堡”的重大使命和全市“奋斗两个五年、跨入第一方阵”总目标谋划工作，坚定不移感党恩、听党话、跟党走，统筹推进稳增长、调结构、促转型、惠民生、</w:t>
      </w:r>
      <w:bookmarkStart w:id="0" w:name="_GoBack"/>
      <w:bookmarkEnd w:id="0"/>
      <w:r>
        <w:rPr>
          <w:rFonts w:hint="eastAsia" w:ascii="仿宋_GB2312" w:eastAsia="仿宋_GB2312"/>
          <w:szCs w:val="28"/>
        </w:rPr>
        <w:t>防风险、保安全，全面唱响担当实干主旋律，办成了一批事关长远发展、关乎百姓福祉的好事实事，全县经济社会呈现出活力进发的崭新气象，各项主要经济指标增速跃居全市第一方阵。现将全县一年来经济社会发展情况公布如下：</w:t>
      </w:r>
    </w:p>
    <w:p>
      <w:pPr>
        <w:pStyle w:val="2"/>
        <w:ind w:firstLine="560"/>
        <w:rPr>
          <w:rFonts w:hint="eastAsia"/>
        </w:rPr>
      </w:pPr>
      <w:r>
        <w:rPr>
          <w:rFonts w:hint="eastAsia"/>
        </w:rPr>
        <w:t>一、综合</w:t>
      </w:r>
    </w:p>
    <w:p>
      <w:pPr>
        <w:spacing w:line="560" w:lineRule="exact"/>
        <w:ind w:firstLine="560"/>
        <w:rPr>
          <w:rFonts w:hint="eastAsia" w:ascii="仿宋_GB2312" w:eastAsia="仿宋_GB2312"/>
          <w:szCs w:val="28"/>
        </w:rPr>
      </w:pPr>
      <w:r>
        <w:rPr>
          <w:rFonts w:hint="eastAsia" w:ascii="仿宋_GB2312" w:eastAsia="仿宋_GB2312"/>
          <w:szCs w:val="28"/>
        </w:rPr>
        <w:t>初步核算，2023年全县地区生产总值完成654308万元，按不变价计算，比上年增长9.7%。其中：第一产业增加值117637万元，增长1.2%，占生产总值的比重17.98%；第二产业增加值231590万元，增长11.7%，占生产总值的比重为35.39%；第三产业增加值 305081万元，增长12.2%，占生产总值的比重为 46.63%。人均地区生产总值为36305元(按户籍人口计算），增长8.61%。第一、二、三产业对生产总值的贡献率分别为2.56%、35.44%和62%，第一、二、三产业分别拉动经济增长0.25、3.44、6.01个百分点。</w:t>
      </w:r>
    </w:p>
    <w:p>
      <w:pPr>
        <w:spacing w:line="560" w:lineRule="exact"/>
        <w:ind w:firstLine="560"/>
        <w:rPr>
          <w:rFonts w:hint="eastAsia" w:ascii="仿宋_GB2312" w:eastAsia="仿宋_GB2312"/>
          <w:szCs w:val="28"/>
        </w:rPr>
      </w:pPr>
      <w:r>
        <w:rPr>
          <w:rFonts w:hint="eastAsia" w:ascii="仿宋_GB2312" w:eastAsia="仿宋_GB2312"/>
          <w:szCs w:val="28"/>
        </w:rPr>
        <w:t>按2023年反馈数据，2022年全县城镇非私营单位就业人员期末人数7229人，同比下降7.2%。据2023年山西省人口变动情况抽样调查反馈，2022年全县年末常住总人口153673人，其中城镇人口57674人，占37.53%，农村人口95999人，占62.47%。城镇化率37.53%。</w:t>
      </w:r>
    </w:p>
    <w:p>
      <w:pPr>
        <w:ind w:firstLine="0" w:firstLineChars="0"/>
        <w:jc w:val="center"/>
        <w:rPr>
          <w:rFonts w:hint="eastAsia" w:ascii="仿宋_GB2312" w:eastAsia="仿宋_GB2312"/>
          <w:szCs w:val="28"/>
        </w:rPr>
      </w:pPr>
      <w:r>
        <w:rPr>
          <w:rFonts w:hint="eastAsia" w:ascii="仿宋_GB2312" w:eastAsia="仿宋_GB2312"/>
          <w:szCs w:val="28"/>
        </w:rPr>
        <w:drawing>
          <wp:inline distT="0" distB="0" distL="114300" distR="114300">
            <wp:extent cx="3993515" cy="3562350"/>
            <wp:effectExtent l="0" t="0" r="0" b="0"/>
            <wp:docPr id="1028"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rFonts w:hint="eastAsia" w:ascii="黑体" w:hAnsi="黑体" w:eastAsia="黑体"/>
          <w:sz w:val="21"/>
          <w:szCs w:val="21"/>
        </w:rPr>
        <w:t>（图1）  2018－2023年全县地区生产总值及其增长速度</w:t>
      </w:r>
    </w:p>
    <w:p>
      <w:pPr>
        <w:pStyle w:val="2"/>
        <w:ind w:firstLine="560"/>
      </w:pPr>
      <w:r>
        <w:t>二、</w:t>
      </w:r>
      <w:r>
        <w:rPr>
          <w:rFonts w:hint="eastAsia"/>
        </w:rPr>
        <w:t>农业</w:t>
      </w:r>
    </w:p>
    <w:p>
      <w:pPr>
        <w:spacing w:line="560" w:lineRule="exact"/>
        <w:ind w:firstLine="560"/>
        <w:rPr>
          <w:rFonts w:hint="eastAsia" w:ascii="仿宋_GB2312" w:eastAsia="仿宋_GB2312"/>
          <w:szCs w:val="28"/>
        </w:rPr>
      </w:pPr>
      <w:r>
        <w:rPr>
          <w:rFonts w:hint="eastAsia" w:ascii="仿宋_GB2312" w:eastAsia="仿宋_GB2312"/>
          <w:szCs w:val="28"/>
        </w:rPr>
        <w:t>2023年，全县农业生产保持良好的发展态势，粮食总产稳步增长。全县粮食总产量191462.3吨，增产1.9%；豆类总产量1712.408吨，减产44.23%；油料总产量3657.2吨，增产5.07%；蔬菜总产量79810.5吨，增产8.4%。</w:t>
      </w:r>
    </w:p>
    <w:p>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(表一)  2023年主要农产品产量</w:t>
      </w:r>
    </w:p>
    <w:tbl>
      <w:tblPr>
        <w:tblStyle w:val="1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83"/>
        <w:gridCol w:w="2083"/>
        <w:gridCol w:w="20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总产量（吨）</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单产（公斤</w:t>
            </w:r>
            <w:r>
              <w:rPr>
                <w:rFonts w:hint="eastAsia" w:ascii="微软雅黑" w:hAnsi="微软雅黑" w:eastAsia="微软雅黑" w:cs="微软雅黑"/>
                <w:sz w:val="21"/>
                <w:szCs w:val="21"/>
              </w:rPr>
              <w:t>∕</w:t>
            </w:r>
            <w:r>
              <w:rPr>
                <w:rFonts w:hint="eastAsia" w:ascii="仿宋_GB2312" w:hAnsi="仿宋_GB2312" w:eastAsia="仿宋_GB2312" w:cs="仿宋_GB2312"/>
                <w:sz w:val="21"/>
                <w:szCs w:val="21"/>
              </w:rPr>
              <w:t>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一、粮食</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191462.2672</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424.93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其中：玉米</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170833.558</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558.72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 xml:space="preserve"> 谷子</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8704.43</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165.14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秋杂谷物</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13938.777</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136.9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马铃薯（鲜薯）</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24887.621</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1082.46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二、豆类</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1712.408</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85.54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三、油料</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3657.2</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92.4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其中： 胡麻籽</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2323.7</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91.4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四、蔬菜</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79810.5</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2078.9</w:t>
            </w:r>
          </w:p>
        </w:tc>
      </w:tr>
    </w:tbl>
    <w:p>
      <w:pPr>
        <w:spacing w:line="560" w:lineRule="exact"/>
        <w:ind w:firstLine="560"/>
        <w:rPr>
          <w:rFonts w:hint="eastAsia" w:ascii="仿宋_GB2312" w:eastAsia="仿宋_GB2312"/>
          <w:szCs w:val="28"/>
        </w:rPr>
      </w:pPr>
      <w:r>
        <w:rPr>
          <w:rFonts w:hint="eastAsia" w:ascii="仿宋_GB2312" w:eastAsia="仿宋_GB2312"/>
          <w:szCs w:val="28"/>
        </w:rPr>
        <w:t>林业建设扎实推进。2023年，全县持续以生态建设为重点，加大造林和林木管护力度，全年共完成造林面积1000公顷，其中：人工造林1000公顷。</w:t>
      </w:r>
    </w:p>
    <w:p>
      <w:pPr>
        <w:spacing w:line="560" w:lineRule="exact"/>
        <w:ind w:firstLine="560"/>
        <w:rPr>
          <w:rFonts w:hint="eastAsia" w:ascii="仿宋_GB2312" w:eastAsia="仿宋_GB2312"/>
          <w:szCs w:val="28"/>
        </w:rPr>
      </w:pPr>
      <w:r>
        <w:rPr>
          <w:rFonts w:hint="eastAsia" w:ascii="仿宋_GB2312" w:eastAsia="仿宋_GB2312"/>
          <w:szCs w:val="28"/>
        </w:rPr>
        <w:t>畜牧业稳步发展。2023年，全县把养殖业作为农民增收的突破口，以做大做强为目标，继续加大产业化力度。全年肉类总产量11345.18吨，增长16.93%；奶类产量42057.2吨，增长26.87%；禽蛋产量6031.6吨，增长20.41%；绵羊毛产量158.6吨，增长56.56%。</w:t>
      </w:r>
    </w:p>
    <w:p>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(表二 )  2023年大牲畜、猪、羊等存栏、出栏情况</w:t>
      </w:r>
    </w:p>
    <w:p>
      <w:pPr>
        <w:spacing w:line="560" w:lineRule="exact"/>
        <w:ind w:firstLine="360"/>
        <w:jc w:val="right"/>
        <w:rPr>
          <w:rFonts w:hint="eastAsia" w:ascii="黑体" w:hAnsi="黑体" w:eastAsia="黑体"/>
          <w:sz w:val="18"/>
          <w:szCs w:val="18"/>
        </w:rPr>
      </w:pPr>
      <w:r>
        <w:rPr>
          <w:rFonts w:hint="eastAsia" w:ascii="黑体" w:hAnsi="黑体" w:eastAsia="黑体"/>
          <w:sz w:val="18"/>
          <w:szCs w:val="18"/>
        </w:rPr>
        <w:t>单位：头、只</w:t>
      </w:r>
    </w:p>
    <w:tbl>
      <w:tblPr>
        <w:tblStyle w:val="13"/>
        <w:tblW w:w="617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09"/>
        <w:gridCol w:w="850"/>
        <w:gridCol w:w="1276"/>
        <w:gridCol w:w="850"/>
        <w:gridCol w:w="11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0"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存 栏</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比上年±%</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出 栏</w:t>
            </w: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比上年±%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大牲畜（牛除外）</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2448</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-14.3</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1444</w:t>
            </w: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牛</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37806</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23.5</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7566</w:t>
            </w: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奶牛</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13299</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65.7</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猪</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43248</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10.6</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81803</w:t>
            </w: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0.06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羊</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243553</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13.5</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171392</w:t>
            </w: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9.65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家禽</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529642</w:t>
            </w:r>
          </w:p>
        </w:tc>
        <w:tc>
          <w:tcPr>
            <w:tcW w:w="1276"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16.5</w:t>
            </w:r>
          </w:p>
        </w:tc>
        <w:tc>
          <w:tcPr>
            <w:tcW w:w="850"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267300</w:t>
            </w:r>
          </w:p>
        </w:tc>
        <w:tc>
          <w:tcPr>
            <w:tcW w:w="1185" w:type="dxa"/>
            <w:tcMar>
              <w:top w:w="0" w:type="dxa"/>
              <w:left w:w="108" w:type="dxa"/>
              <w:bottom w:w="0" w:type="dxa"/>
              <w:right w:w="108" w:type="dxa"/>
            </w:tcMar>
            <w:vAlign w:val="center"/>
          </w:tcPr>
          <w:p>
            <w:pPr>
              <w:ind w:firstLine="0" w:firstLineChars="0"/>
              <w:rPr>
                <w:rFonts w:hint="eastAsia" w:ascii="仿宋_GB2312" w:eastAsia="仿宋_GB2312"/>
                <w:sz w:val="21"/>
                <w:szCs w:val="21"/>
              </w:rPr>
            </w:pPr>
            <w:r>
              <w:rPr>
                <w:rFonts w:hint="eastAsia" w:ascii="仿宋_GB2312" w:eastAsia="仿宋_GB2312"/>
                <w:sz w:val="21"/>
                <w:szCs w:val="21"/>
              </w:rPr>
              <w:t>19.33</w:t>
            </w:r>
          </w:p>
        </w:tc>
      </w:tr>
    </w:tbl>
    <w:p>
      <w:pPr>
        <w:spacing w:line="560" w:lineRule="exact"/>
        <w:ind w:firstLine="560"/>
        <w:rPr>
          <w:rFonts w:hint="eastAsia" w:ascii="仿宋_GB2312" w:eastAsia="仿宋_GB2312"/>
          <w:szCs w:val="28"/>
        </w:rPr>
      </w:pPr>
      <w:r>
        <w:rPr>
          <w:rFonts w:hint="eastAsia" w:ascii="仿宋_GB2312" w:eastAsia="仿宋_GB2312"/>
          <w:szCs w:val="28"/>
        </w:rPr>
        <w:t>初步核算，2023年，全县完成农林牧渔业总产值195537.06万元。其中：农业产值106589.72万元、林业产值9729万元、牧业产值71231.54万元、渔业产值151.8万元、服务业产值 7835万元。农林牧渔业总产值比上年同期177875.5万元增长9.93%，其中农业产值比上年同期88193.43万元增长20.86% 、林业产值比上年同期15173.6万元减少35.88%、牧业产值比上年同期66752.17万元增长6.71%、渔业产值比上年同期136.3万元增长11.37%、服务业产值比上年同期7620万元增长2.82%。</w:t>
      </w:r>
    </w:p>
    <w:p>
      <w:pPr>
        <w:spacing w:line="560" w:lineRule="exact"/>
        <w:ind w:firstLine="560"/>
        <w:rPr>
          <w:rFonts w:hint="eastAsia" w:ascii="仿宋_GB2312" w:eastAsia="仿宋_GB2312"/>
          <w:szCs w:val="28"/>
        </w:rPr>
      </w:pPr>
      <w:r>
        <w:rPr>
          <w:rFonts w:hint="eastAsia" w:ascii="仿宋_GB2312" w:eastAsia="仿宋_GB2312"/>
          <w:szCs w:val="28"/>
        </w:rPr>
        <w:t>2023年，全县耕地面积 39782.9公顷，其中水浇地面积15730公顷；农用化肥施用量（折纯）8503.616吨，减少4.6%；农用地膜使用量451吨，增长10.54%；农用柴油使用量1470吨，增长1.94%；农药使用量73吨，增长2.8%。2023年全县农业机械总动力134153千瓦，同比增长8.3%。</w:t>
      </w:r>
    </w:p>
    <w:p>
      <w:pPr>
        <w:ind w:firstLine="0" w:firstLineChars="0"/>
        <w:rPr>
          <w:rFonts w:hint="eastAsia" w:ascii="仿宋_GB2312" w:eastAsia="仿宋_GB2312"/>
          <w:szCs w:val="28"/>
        </w:rPr>
      </w:pPr>
      <w:r>
        <w:rPr>
          <w:rFonts w:hint="eastAsia" w:ascii="仿宋_GB2312" w:eastAsia="仿宋_GB2312"/>
          <w:szCs w:val="28"/>
        </w:rPr>
        <w:drawing>
          <wp:inline distT="0" distB="0" distL="114300" distR="114300">
            <wp:extent cx="3853180" cy="2955290"/>
            <wp:effectExtent l="0" t="0" r="0" b="0"/>
            <wp:docPr id="1030"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（图2）  2018－2023年全县粮食总产量及其增长速度</w:t>
      </w:r>
    </w:p>
    <w:p>
      <w:pPr>
        <w:pStyle w:val="2"/>
        <w:ind w:firstLine="560"/>
        <w:rPr>
          <w:rFonts w:hint="eastAsia"/>
        </w:rPr>
      </w:pPr>
      <w:r>
        <w:rPr>
          <w:rFonts w:hint="eastAsia"/>
        </w:rPr>
        <w:t>三、工业、能源、投资、建筑和房地产</w:t>
      </w:r>
    </w:p>
    <w:p>
      <w:pPr>
        <w:spacing w:line="560" w:lineRule="exact"/>
        <w:ind w:firstLine="560"/>
        <w:rPr>
          <w:rFonts w:hint="eastAsia" w:ascii="仿宋_GB2312" w:eastAsia="仿宋_GB2312"/>
          <w:szCs w:val="28"/>
        </w:rPr>
      </w:pPr>
      <w:r>
        <w:rPr>
          <w:rFonts w:hint="eastAsia" w:ascii="仿宋_GB2312" w:eastAsia="仿宋_GB2312"/>
          <w:szCs w:val="28"/>
        </w:rPr>
        <w:t xml:space="preserve">2023年，全县工业经济总量持续保持增长势头。规模以上工业企业完成总产值380685万元，下降4.55%；完成销售产值362302万元，增长8.8%；实现增加值134630万元，按可比价增长20.1%；销售收入完成402371万元，增长37.25%；工业产品销售率为95.17%，比上年同期增长11.68个百分点；实现利税73521万元，增长71.14%；实现利润43868万元，增长74.13%。规上工业企业上缴税金17792.4万元，增长26.49%。 </w:t>
      </w:r>
    </w:p>
    <w:p>
      <w:pPr>
        <w:spacing w:line="560" w:lineRule="exact"/>
        <w:ind w:firstLine="560"/>
        <w:rPr>
          <w:rFonts w:hint="eastAsia" w:ascii="仿宋_GB2312" w:eastAsia="仿宋_GB2312"/>
          <w:szCs w:val="28"/>
        </w:rPr>
      </w:pPr>
      <w:r>
        <w:rPr>
          <w:rFonts w:hint="eastAsia" w:ascii="仿宋_GB2312" w:eastAsia="仿宋_GB2312"/>
          <w:szCs w:val="28"/>
        </w:rPr>
        <w:t>工业主要产品产量：水泥产量820073吨，下降3.04%；发电量197516万度，增长18.21%；其中：风电176321万度，增长21.33%；再生铅产量37313吨，下降41.57%；炸药产量13056吨，下降15.07%；富锰渣产量28975吨，增长77.11%；小米及杂粮产量4048吨，增长25.83%;混凝土产量254949吨，增长4.47%；生铁产量11670吨，增长30.8%；锌产量7243吨，增长448.92%；钢结构产量4256吨，下降44.91%；煤矸石砖产量5465万块，下降6.23%；锌合金产量10554吨，增长7.61%；铝合金锭产量100726吨，增长33.99%；调味料产量293408箱。</w:t>
      </w:r>
    </w:p>
    <w:p>
      <w:pPr>
        <w:spacing w:line="560" w:lineRule="exact"/>
        <w:ind w:firstLine="560"/>
        <w:rPr>
          <w:rFonts w:hint="eastAsia" w:ascii="仿宋_GB2312" w:eastAsia="仿宋_GB2312"/>
          <w:szCs w:val="28"/>
        </w:rPr>
      </w:pPr>
      <w:r>
        <w:rPr>
          <w:rFonts w:hint="eastAsia" w:ascii="仿宋_GB2312" w:eastAsia="仿宋_GB2312"/>
          <w:szCs w:val="28"/>
        </w:rPr>
        <w:t>规模以上工业企业能源消费合计255103.03吨标准煤，增长11.97%。其中：原煤消费85348.77吨，下降10.32%，占能源消费总量的28.88%；其它洗煤消费78138吨，增长100%，占能源消费总量的16.28%；焦炭消费18990.79吨，增长42.47%，占能源消费总量的7.23%；石蜡消费101.25吨，下降36.16%，占能源消费总量的0.05%；电力消费18680.55万千瓦时，增长15.27%，占能源消费总量的8.99%；生物质燃料消费79779.85吨标准煤，下降1.67%，占能源消费的31.27%；余热余压回收利用276558.15百万千焦，下降17.39%，占能源消费总量的3.69%；天然气消费694.42万立方米，增长187.99%，占能源消费的3.27%；汽油消费3.91吨，下降67.42%，占能源消费的0.002%；柴油消费623.95吨，下降2.89%，占能源消费的0.36%；</w:t>
      </w:r>
    </w:p>
    <w:p>
      <w:pPr>
        <w:spacing w:line="560" w:lineRule="exact"/>
        <w:ind w:firstLine="560"/>
        <w:rPr>
          <w:rFonts w:hint="eastAsia" w:ascii="仿宋_GB2312" w:eastAsia="仿宋_GB2312"/>
          <w:szCs w:val="28"/>
        </w:rPr>
      </w:pPr>
      <w:r>
        <w:rPr>
          <w:rFonts w:hint="eastAsia" w:ascii="仿宋_GB2312" w:eastAsia="仿宋_GB2312"/>
          <w:szCs w:val="28"/>
        </w:rPr>
        <w:t>规模以上工业企业综合能源消费量168882.45吨标准煤，下降8.37%。</w:t>
      </w:r>
    </w:p>
    <w:p>
      <w:pPr>
        <w:ind w:firstLine="0" w:firstLineChars="0"/>
        <w:rPr>
          <w:rFonts w:ascii="仿宋_GB2312" w:eastAsia="仿宋_GB2312"/>
          <w:szCs w:val="28"/>
        </w:rPr>
      </w:pPr>
      <w:r>
        <w:rPr>
          <w:rFonts w:hint="eastAsia" w:ascii="仿宋_GB2312" w:eastAsia="仿宋_GB2312"/>
          <w:szCs w:val="28"/>
        </w:rPr>
        <w:drawing>
          <wp:inline distT="0" distB="0" distL="114300" distR="114300">
            <wp:extent cx="3657600" cy="2226310"/>
            <wp:effectExtent l="0" t="0" r="0" b="2540"/>
            <wp:docPr id="1032"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（图3）2018-2023年规模以上工业增加值及增长速度</w:t>
      </w:r>
    </w:p>
    <w:p>
      <w:pPr>
        <w:spacing w:line="560" w:lineRule="exact"/>
        <w:ind w:firstLine="560"/>
        <w:rPr>
          <w:rFonts w:hint="eastAsia" w:ascii="仿宋_GB2312" w:eastAsia="仿宋_GB2312"/>
          <w:szCs w:val="28"/>
        </w:rPr>
      </w:pPr>
      <w:r>
        <w:rPr>
          <w:rFonts w:hint="eastAsia" w:ascii="仿宋_GB2312" w:eastAsia="仿宋_GB2312"/>
          <w:szCs w:val="28"/>
        </w:rPr>
        <w:t>2023年，全县共完成固定资产投资额332790万元，同比增长35.8%。分产业看：第一产业完成投资额62779万元，占全部投资额的18.86%，同比增长12.08%；第二产业完成投资额131389万元，占全部投资额39.48%，同比增长-4.37%；第三产业完成投资额138622万元，占全部投资额的41.66%，同比增长168.75%。民间投资额272761 万元，占全部投资额的81.96%，同比增长97.15%。全年施工项目个数79个，新开工项目51个，新增固定资产232244万元。</w:t>
      </w:r>
    </w:p>
    <w:p>
      <w:pPr>
        <w:spacing w:line="560" w:lineRule="exact"/>
        <w:ind w:firstLine="560"/>
        <w:rPr>
          <w:rFonts w:hint="eastAsia" w:ascii="仿宋_GB2312" w:eastAsia="仿宋_GB2312"/>
          <w:szCs w:val="28"/>
        </w:rPr>
      </w:pPr>
      <w:r>
        <w:rPr>
          <w:rFonts w:hint="eastAsia" w:ascii="仿宋_GB2312" w:eastAsia="仿宋_GB2312"/>
          <w:szCs w:val="28"/>
        </w:rPr>
        <w:t>2023年实现建筑业总产值360683千元，完成房屋竣工面积24765平方米。其中:住宅完成24212平方米。</w:t>
      </w:r>
    </w:p>
    <w:p>
      <w:pPr>
        <w:spacing w:line="560" w:lineRule="exact"/>
        <w:ind w:firstLine="560"/>
        <w:rPr>
          <w:rFonts w:hint="eastAsia" w:ascii="仿宋_GB2312" w:eastAsia="仿宋_GB2312"/>
          <w:szCs w:val="28"/>
        </w:rPr>
      </w:pPr>
      <w:r>
        <w:rPr>
          <w:rFonts w:hint="eastAsia" w:ascii="仿宋_GB2312" w:eastAsia="仿宋_GB2312"/>
          <w:szCs w:val="28"/>
        </w:rPr>
        <w:t>2023年房地产企业投资完成39985万元。房屋施工面积510420平方米，其中住宅394715平方米。本年商品房销售面积81130平方米，其中住宅72618平方米。</w:t>
      </w:r>
    </w:p>
    <w:p>
      <w:pPr>
        <w:ind w:firstLine="0" w:firstLineChars="0"/>
        <w:rPr>
          <w:rFonts w:hint="eastAsia" w:ascii="仿宋_GB2312" w:eastAsia="仿宋_GB2312"/>
          <w:szCs w:val="28"/>
        </w:rPr>
      </w:pPr>
      <w:r>
        <w:rPr>
          <w:rFonts w:hint="eastAsia" w:ascii="仿宋_GB2312" w:eastAsia="仿宋_GB2312"/>
          <w:szCs w:val="28"/>
        </w:rPr>
        <w:drawing>
          <wp:inline distT="0" distB="0" distL="114300" distR="114300">
            <wp:extent cx="3888740" cy="2639695"/>
            <wp:effectExtent l="0" t="0" r="0" b="0"/>
            <wp:docPr id="1034"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（图4）  2018-2023年固定资产投资及增长速度</w:t>
      </w:r>
    </w:p>
    <w:p>
      <w:pPr>
        <w:pStyle w:val="2"/>
        <w:ind w:firstLine="560"/>
        <w:rPr>
          <w:rFonts w:hint="eastAsia"/>
        </w:rPr>
      </w:pPr>
      <w:r>
        <w:rPr>
          <w:rFonts w:hint="eastAsia"/>
        </w:rPr>
        <w:t>四、交通、通信</w:t>
      </w:r>
    </w:p>
    <w:p>
      <w:pPr>
        <w:spacing w:line="560" w:lineRule="exact"/>
        <w:ind w:firstLine="560"/>
        <w:rPr>
          <w:rFonts w:hint="eastAsia" w:ascii="仿宋_GB2312" w:eastAsia="仿宋_GB2312"/>
          <w:szCs w:val="28"/>
        </w:rPr>
      </w:pPr>
      <w:r>
        <w:rPr>
          <w:rFonts w:hint="eastAsia" w:ascii="仿宋_GB2312" w:eastAsia="仿宋_GB2312"/>
          <w:szCs w:val="28"/>
        </w:rPr>
        <w:t>2023年，全县公路通车总里程934.811公里，其中：高速公路46.301公里，干线公路75.519公里，县级公路160.358公里，乡级公路442.214公里，村级公路210.419公里。全县公路网密度0.729公里</w:t>
      </w:r>
      <w:r>
        <w:rPr>
          <w:rFonts w:hint="eastAsia" w:ascii="微软雅黑" w:hAnsi="微软雅黑" w:eastAsia="微软雅黑" w:cs="微软雅黑"/>
          <w:szCs w:val="28"/>
        </w:rPr>
        <w:t>∕</w:t>
      </w:r>
      <w:r>
        <w:rPr>
          <w:rFonts w:hint="eastAsia" w:ascii="仿宋_GB2312" w:hAnsi="仿宋_GB2312" w:eastAsia="仿宋_GB2312" w:cs="仿宋_GB2312"/>
          <w:szCs w:val="28"/>
        </w:rPr>
        <w:t>平方公里。</w:t>
      </w:r>
    </w:p>
    <w:p>
      <w:pPr>
        <w:spacing w:line="560" w:lineRule="exact"/>
        <w:ind w:firstLine="560"/>
        <w:rPr>
          <w:rFonts w:hint="eastAsia" w:ascii="仿宋_GB2312" w:eastAsia="仿宋_GB2312"/>
          <w:szCs w:val="28"/>
        </w:rPr>
      </w:pPr>
      <w:r>
        <w:rPr>
          <w:rFonts w:hint="eastAsia" w:ascii="仿宋_GB2312" w:eastAsia="仿宋_GB2312"/>
          <w:szCs w:val="28"/>
        </w:rPr>
        <w:t>2023年1-12月实现公路客运量4.5852万人，客运周转量825.09万人·公里，货物运输量155.98万吨，货运周转量19930.1万吨·公里。与2022年同期总量增长率分别为：客运量72.68%，客运周转量130.81%，货物运输量26.95%，货运周转量33.94%。营运汽车(有营用手续)拥有量989辆，其中：货车982辆，客车7辆。</w:t>
      </w:r>
    </w:p>
    <w:p>
      <w:pPr>
        <w:spacing w:line="560" w:lineRule="exact"/>
        <w:ind w:firstLine="560"/>
        <w:rPr>
          <w:rFonts w:hint="eastAsia" w:ascii="仿宋_GB2312" w:eastAsia="仿宋_GB2312"/>
          <w:szCs w:val="28"/>
        </w:rPr>
      </w:pPr>
      <w:r>
        <w:rPr>
          <w:rFonts w:hint="eastAsia" w:ascii="仿宋_GB2312" w:eastAsia="仿宋_GB2312"/>
          <w:szCs w:val="28"/>
        </w:rPr>
        <w:t>2023年，全县固定电话户数4372户，移动电话年末户数157519户，其中：4G/5G移动电话户数111431户。互联网宽带接入户55647户。</w:t>
      </w:r>
    </w:p>
    <w:p>
      <w:pPr>
        <w:pStyle w:val="2"/>
        <w:ind w:firstLine="560"/>
        <w:rPr>
          <w:rFonts w:hint="eastAsia"/>
        </w:rPr>
      </w:pPr>
      <w:r>
        <w:rPr>
          <w:rFonts w:hint="eastAsia"/>
        </w:rPr>
        <w:t>五、贸易</w:t>
      </w:r>
    </w:p>
    <w:p>
      <w:pPr>
        <w:spacing w:line="560" w:lineRule="exact"/>
        <w:ind w:firstLine="560"/>
        <w:rPr>
          <w:rFonts w:hint="eastAsia" w:ascii="仿宋_GB2312" w:eastAsia="仿宋_GB2312"/>
          <w:szCs w:val="28"/>
        </w:rPr>
      </w:pPr>
      <w:r>
        <w:rPr>
          <w:rFonts w:hint="eastAsia" w:ascii="仿宋_GB2312" w:eastAsia="仿宋_GB2312"/>
          <w:szCs w:val="28"/>
        </w:rPr>
        <w:t>城乡市场消费回暖向好。2023年全县完成社会消费品零售总额132730.6万元，增长2.1%。其中限额以上单位完成23629.2万元，增长7.3%，限下单位完成109101.4万元，增长-1.4%。分城乡看：城镇的零售额为 71520.1万元，增长1.4%；农村的零售额为61210.5万元，增长2.8%。分行业看：批发零售业的零售额为119224.1万元，增长1.9%；住宿和餐饮业的零售额为13506.5万元，增长3.8%。</w:t>
      </w:r>
    </w:p>
    <w:p>
      <w:pPr>
        <w:ind w:left="560" w:hanging="560" w:hangingChars="200"/>
        <w:rPr>
          <w:rFonts w:hint="eastAsia" w:ascii="仿宋_GB2312" w:eastAsia="仿宋_GB2312"/>
          <w:szCs w:val="28"/>
        </w:rPr>
      </w:pPr>
      <w:r>
        <w:rPr>
          <w:rFonts w:hint="eastAsia" w:ascii="仿宋_GB2312" w:eastAsia="仿宋_GB2312"/>
          <w:szCs w:val="28"/>
        </w:rPr>
        <w:drawing>
          <wp:inline distT="0" distB="0" distL="114300" distR="114300">
            <wp:extent cx="3967480" cy="2146300"/>
            <wp:effectExtent l="0" t="0" r="0" b="0"/>
            <wp:docPr id="1036"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rFonts w:hint="eastAsia" w:ascii="黑体" w:hAnsi="黑体" w:eastAsia="黑体"/>
          <w:sz w:val="21"/>
          <w:szCs w:val="21"/>
        </w:rPr>
        <w:t>(图5)  2018-2023年社会消费品零售总额及其增长速度</w:t>
      </w:r>
      <w:r>
        <w:rPr>
          <w:rFonts w:hint="eastAsia" w:ascii="仿宋_GB2312" w:eastAsia="仿宋_GB2312"/>
          <w:szCs w:val="28"/>
        </w:rPr>
        <w:br w:type="page"/>
      </w:r>
    </w:p>
    <w:p>
      <w:pPr>
        <w:pStyle w:val="2"/>
        <w:ind w:firstLine="560"/>
        <w:rPr>
          <w:rFonts w:hint="eastAsia"/>
        </w:rPr>
      </w:pPr>
      <w:r>
        <w:rPr>
          <w:rFonts w:hint="eastAsia"/>
        </w:rPr>
        <w:t>六、财政、金融</w:t>
      </w:r>
    </w:p>
    <w:p>
      <w:pPr>
        <w:spacing w:line="560" w:lineRule="exact"/>
        <w:ind w:firstLine="560"/>
        <w:rPr>
          <w:rFonts w:hint="eastAsia" w:ascii="仿宋_GB2312" w:eastAsia="仿宋_GB2312"/>
          <w:szCs w:val="28"/>
        </w:rPr>
      </w:pPr>
      <w:r>
        <w:rPr>
          <w:rFonts w:hint="eastAsia" w:ascii="仿宋_GB2312" w:eastAsia="仿宋_GB2312"/>
          <w:szCs w:val="28"/>
        </w:rPr>
        <w:t>2023年，全县财政总收入完成40718.3万元，增长43.66%。一般公共预算收入完成19715.4万元，增长11.15%；全年一般公共预算支出258428万元，增长11.63%。</w:t>
      </w:r>
    </w:p>
    <w:p>
      <w:pPr>
        <w:ind w:firstLine="0" w:firstLineChars="0"/>
        <w:jc w:val="center"/>
        <w:rPr>
          <w:rFonts w:hint="eastAsia" w:ascii="仿宋_GB2312" w:eastAsia="仿宋_GB2312"/>
          <w:szCs w:val="28"/>
        </w:rPr>
      </w:pPr>
      <w:r>
        <w:rPr>
          <w:rFonts w:hint="eastAsia" w:ascii="仿宋_GB2312" w:eastAsia="仿宋_GB2312"/>
          <w:szCs w:val="28"/>
        </w:rPr>
        <w:drawing>
          <wp:inline distT="0" distB="0" distL="114300" distR="114300">
            <wp:extent cx="3856990" cy="2276475"/>
            <wp:effectExtent l="0" t="0" r="0" b="0"/>
            <wp:docPr id="1038"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rFonts w:hint="eastAsia" w:ascii="黑体" w:hAnsi="黑体" w:eastAsia="黑体"/>
          <w:w w:val="95"/>
          <w:sz w:val="21"/>
          <w:szCs w:val="21"/>
        </w:rPr>
        <w:t>（图6）2018-2023年财政总收入和公共财政预算收入及其增长速度</w:t>
      </w:r>
    </w:p>
    <w:p>
      <w:pPr>
        <w:spacing w:line="560" w:lineRule="exact"/>
        <w:ind w:firstLine="560"/>
        <w:rPr>
          <w:rFonts w:hint="eastAsia" w:ascii="仿宋_GB2312" w:eastAsia="仿宋_GB2312"/>
          <w:szCs w:val="28"/>
        </w:rPr>
      </w:pPr>
      <w:r>
        <w:rPr>
          <w:rFonts w:hint="eastAsia" w:ascii="仿宋_GB2312" w:eastAsia="仿宋_GB2312"/>
          <w:szCs w:val="28"/>
        </w:rPr>
        <w:t>城乡居民储蓄存款继续增加。2023年，金融机构各项存款余额1229667万元，比上年增加154565万元，增长14.38%；各项贷款余额517202万元，比上年增加73500万元，增长16.57%。城乡居民储蓄存款余额1045342万元，比上年增加128346万元，增长14%。</w:t>
      </w:r>
    </w:p>
    <w:p>
      <w:pPr>
        <w:spacing w:line="360" w:lineRule="auto"/>
        <w:ind w:firstLine="0" w:firstLineChars="0"/>
        <w:rPr>
          <w:rFonts w:hint="eastAsia" w:ascii="仿宋_GB2312" w:eastAsia="仿宋_GB2312"/>
          <w:szCs w:val="28"/>
        </w:rPr>
      </w:pPr>
      <w:r>
        <w:rPr>
          <w:rFonts w:hint="eastAsia" w:ascii="仿宋_GB2312" w:eastAsia="仿宋_GB2312"/>
          <w:szCs w:val="28"/>
        </w:rPr>
        <w:drawing>
          <wp:inline distT="0" distB="0" distL="0" distR="0">
            <wp:extent cx="3888740" cy="3105150"/>
            <wp:effectExtent l="0" t="0" r="1651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pPr>
        <w:spacing w:line="560" w:lineRule="exact"/>
        <w:ind w:firstLine="0" w:firstLineChars="0"/>
        <w:rPr>
          <w:rFonts w:hint="eastAsia" w:ascii="黑体" w:hAnsi="黑体" w:eastAsia="黑体"/>
          <w:w w:val="95"/>
          <w:sz w:val="21"/>
          <w:szCs w:val="21"/>
        </w:rPr>
      </w:pPr>
      <w:r>
        <w:rPr>
          <w:rFonts w:hint="eastAsia" w:ascii="黑体" w:hAnsi="黑体" w:eastAsia="黑体"/>
          <w:w w:val="95"/>
          <w:sz w:val="21"/>
          <w:szCs w:val="21"/>
        </w:rPr>
        <w:t>（图7） 2018-2023年各项存款余额、贷款余额和居民储蓄存款余额</w:t>
      </w:r>
    </w:p>
    <w:p>
      <w:pPr>
        <w:pStyle w:val="2"/>
        <w:ind w:firstLine="560"/>
        <w:rPr>
          <w:rFonts w:hint="eastAsia"/>
        </w:rPr>
      </w:pPr>
      <w:r>
        <w:rPr>
          <w:rFonts w:hint="eastAsia"/>
        </w:rPr>
        <w:t>七、教育、卫生</w:t>
      </w:r>
    </w:p>
    <w:p>
      <w:pPr>
        <w:spacing w:line="560" w:lineRule="exact"/>
        <w:ind w:firstLine="560"/>
        <w:rPr>
          <w:rFonts w:hint="eastAsia" w:ascii="仿宋_GB2312" w:eastAsia="仿宋_GB2312"/>
          <w:szCs w:val="28"/>
        </w:rPr>
      </w:pPr>
      <w:r>
        <w:rPr>
          <w:rFonts w:hint="eastAsia" w:ascii="仿宋_GB2312" w:eastAsia="仿宋_GB2312"/>
          <w:szCs w:val="28"/>
        </w:rPr>
        <w:t>全县中小学校总数28所，其中，普通高中1所（广灵一中），完全中学1所（广灵二中），初级中学3所（广灵三中、广灵五中、加斗中学），九年一贯制7所（广灵六中、作疃九年制学校、斗泉九年制学校、留疃九年制学校、平城九年制学校、梁庄九年制学校、望狐九年制学校），小学15所（其中完全小学9所，非完全小学6所），职业高中1所。全县公办教职工人数2049人，专任教师1924人，其中高中专任教师428人，初中专任教师663人，小学专任教师833人。在校学生数18996人，其中：高中在校生3762人，初中在校生5546人，小学在校生8289人，职中在校生1399人。</w:t>
      </w:r>
    </w:p>
    <w:p>
      <w:pPr>
        <w:spacing w:line="560" w:lineRule="exact"/>
        <w:ind w:firstLine="560"/>
        <w:rPr>
          <w:rFonts w:hint="eastAsia" w:ascii="仿宋_GB2312" w:eastAsia="仿宋_GB2312"/>
          <w:szCs w:val="28"/>
        </w:rPr>
      </w:pPr>
      <w:r>
        <w:rPr>
          <w:rFonts w:hint="eastAsia" w:ascii="仿宋_GB2312" w:eastAsia="仿宋_GB2312"/>
          <w:szCs w:val="28"/>
        </w:rPr>
        <w:t>全县各级各类学前教育机构39所，其中：幼儿园33所（公办幼儿园17所，民办幼儿园16所），学校附设幼儿班6所。全县在园幼儿总数3527人，公办园在园幼儿1311人，民办园在园幼儿2216人。全县幼儿教师466人，其中在编教师16人，临时雇用教师450人。</w:t>
      </w:r>
    </w:p>
    <w:p>
      <w:pPr>
        <w:spacing w:line="560" w:lineRule="exact"/>
        <w:ind w:firstLine="560"/>
        <w:rPr>
          <w:rFonts w:hint="eastAsia" w:ascii="仿宋_GB2312" w:eastAsia="仿宋_GB2312"/>
          <w:szCs w:val="28"/>
        </w:rPr>
      </w:pPr>
      <w:r>
        <w:rPr>
          <w:rFonts w:hint="eastAsia" w:ascii="仿宋_GB2312" w:eastAsia="仿宋_GB2312"/>
          <w:szCs w:val="28"/>
        </w:rPr>
        <w:t>2023年高考，参加考试学生1427人，一本达线人数为415人，达线率29.08%；二本B类达线人数为904人，达线率63.35%，特别是全县600以上的高分段学生41人，整体成绩提升明显。9名同学被清华、北大录取，清北专项生录取率持续蝉联全省36个贫困县榜首。</w:t>
      </w:r>
    </w:p>
    <w:p>
      <w:pPr>
        <w:spacing w:line="560" w:lineRule="exact"/>
        <w:ind w:firstLine="560"/>
        <w:rPr>
          <w:rFonts w:hint="eastAsia" w:ascii="仿宋_GB2312" w:eastAsia="仿宋_GB2312"/>
          <w:szCs w:val="28"/>
        </w:rPr>
      </w:pPr>
      <w:r>
        <w:rPr>
          <w:rFonts w:hint="eastAsia" w:ascii="仿宋_GB2312" w:eastAsia="仿宋_GB2312"/>
          <w:szCs w:val="28"/>
        </w:rPr>
        <w:t>2023年末，全县医疗机构总数161个。其中：其中县级公立医院2个（广灵县人民医院、广灵县中医医院），民营医院4个（广灵健安医院、广灵仁爱医院、广灵博爱妇幼专科医院、广灵陆元康心理医院），乡镇卫生院11个（包括3个分院），村卫生室129个，门诊部1个，个体诊所11个，医务室1个。卫生单位2家（疾病预防控制中心、妇幼保健计划生育服务中心）。卫生技术人员692人，其中：主任医师12人、副主任医师44人、主治医师70人、医师77人、医士83人、副主任护师24人、主管护师52人、护师35人、护士65人、副主任药师2人、主管药师4人、药师12人、药士5人、主管检验师3人、检验师4人、检验士5人、技师14人、其他卫生技术人员（村医）181人。全县总床位数928张，其中：县级公立医院280张（县医院180张、中医院100张），民营医院350张（博爱妇幼医院20张，健安医院42张，仁爱医院30张,陆元康心理医院258张），乡镇卫生院298张。</w:t>
      </w:r>
    </w:p>
    <w:p>
      <w:pPr>
        <w:spacing w:line="560" w:lineRule="exact"/>
        <w:ind w:firstLine="560"/>
        <w:rPr>
          <w:rFonts w:hint="eastAsia" w:ascii="仿宋_GB2312" w:eastAsia="仿宋_GB2312"/>
          <w:szCs w:val="28"/>
        </w:rPr>
      </w:pPr>
      <w:r>
        <w:rPr>
          <w:rFonts w:hint="eastAsia" w:ascii="仿宋_GB2312" w:eastAsia="仿宋_GB2312"/>
          <w:szCs w:val="28"/>
        </w:rPr>
        <w:br w:type="page"/>
      </w:r>
    </w:p>
    <w:p>
      <w:pPr>
        <w:spacing w:line="560" w:lineRule="exact"/>
        <w:ind w:firstLine="0" w:firstLineChars="0"/>
        <w:jc w:val="center"/>
        <w:rPr>
          <w:rFonts w:hint="eastAsia" w:ascii="黑体" w:hAnsi="黑体" w:eastAsia="黑体"/>
          <w:szCs w:val="28"/>
        </w:rPr>
      </w:pPr>
      <w:r>
        <w:rPr>
          <w:rFonts w:hint="eastAsia" w:ascii="黑体" w:hAnsi="黑体" w:eastAsia="黑体"/>
          <w:szCs w:val="28"/>
        </w:rPr>
        <w:t>（表三） 2023年卫生情况统计表</w:t>
      </w:r>
    </w:p>
    <w:tbl>
      <w:tblPr>
        <w:tblStyle w:val="13"/>
        <w:tblpPr w:leftFromText="180" w:rightFromText="180" w:vertAnchor="text" w:horzAnchor="margin" w:tblpXSpec="center" w:tblpY="2"/>
        <w:tblW w:w="0" w:type="auto"/>
        <w:tblInd w:w="0" w:type="dxa"/>
        <w:tblLayout w:type="fixed"/>
        <w:tblCellMar>
          <w:top w:w="0" w:type="dxa"/>
          <w:left w:w="0" w:type="dxa"/>
          <w:bottom w:w="0" w:type="dxa"/>
          <w:right w:w="0" w:type="dxa"/>
        </w:tblCellMar>
      </w:tblPr>
      <w:tblGrid>
        <w:gridCol w:w="773"/>
        <w:gridCol w:w="622"/>
        <w:gridCol w:w="3397"/>
        <w:gridCol w:w="572"/>
        <w:gridCol w:w="712"/>
      </w:tblGrid>
      <w:tr>
        <w:tblPrEx>
          <w:tblCellMar>
            <w:top w:w="0" w:type="dxa"/>
            <w:left w:w="0" w:type="dxa"/>
            <w:bottom w:w="0" w:type="dxa"/>
            <w:right w:w="0" w:type="dxa"/>
          </w:tblCellMar>
        </w:tblPrEx>
        <w:tc>
          <w:tcPr>
            <w:tcW w:w="4792" w:type="dxa"/>
            <w:gridSpan w:val="3"/>
            <w:tcBorders>
              <w:top w:val="single" w:color="auto" w:sz="8" w:space="0"/>
              <w:left w:val="single" w:color="auto" w:sz="8" w:space="0"/>
              <w:bottom w:val="single" w:color="auto" w:sz="8" w:space="0"/>
              <w:right w:val="single" w:color="auto" w:sz="8" w:space="0"/>
            </w:tcBorders>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项  目</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单位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指标值</w:t>
            </w:r>
          </w:p>
        </w:tc>
      </w:tr>
      <w:tr>
        <w:tblPrEx>
          <w:tblCellMar>
            <w:top w:w="0" w:type="dxa"/>
            <w:left w:w="0" w:type="dxa"/>
            <w:bottom w:w="0" w:type="dxa"/>
            <w:right w:w="0" w:type="dxa"/>
          </w:tblCellMar>
        </w:tblPrEx>
        <w:tc>
          <w:tcPr>
            <w:tcW w:w="1395" w:type="dxa"/>
            <w:gridSpan w:val="2"/>
            <w:vMerge w:val="restart"/>
            <w:tcBorders>
              <w:top w:val="single" w:color="auto" w:sz="8" w:space="0"/>
              <w:left w:val="single" w:color="auto" w:sz="8" w:space="0"/>
              <w:bottom w:val="single" w:color="auto" w:sz="8" w:space="0"/>
              <w:right w:val="single" w:color="auto" w:sz="8" w:space="0"/>
            </w:tcBorders>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医疗机构总数    161个</w:t>
            </w: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县级公立医院</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w:t>
            </w:r>
          </w:p>
        </w:tc>
      </w:tr>
      <w:tr>
        <w:tblPrEx>
          <w:tblCellMar>
            <w:top w:w="0" w:type="dxa"/>
            <w:left w:w="0" w:type="dxa"/>
            <w:bottom w:w="0" w:type="dxa"/>
            <w:right w:w="0" w:type="dxa"/>
          </w:tblCellMar>
        </w:tblPrEx>
        <w:tc>
          <w:tcPr>
            <w:tcW w:w="1395" w:type="dxa"/>
            <w:gridSpan w:val="2"/>
            <w:vMerge w:val="continue"/>
            <w:tcBorders>
              <w:left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民营医院</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4</w:t>
            </w:r>
          </w:p>
        </w:tc>
      </w:tr>
      <w:tr>
        <w:tblPrEx>
          <w:tblCellMar>
            <w:top w:w="0" w:type="dxa"/>
            <w:left w:w="0" w:type="dxa"/>
            <w:bottom w:w="0" w:type="dxa"/>
            <w:right w:w="0" w:type="dxa"/>
          </w:tblCellMar>
        </w:tblPrEx>
        <w:tc>
          <w:tcPr>
            <w:tcW w:w="1395" w:type="dxa"/>
            <w:gridSpan w:val="2"/>
            <w:vMerge w:val="continue"/>
            <w:tcBorders>
              <w:left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卫生机构（广灵县妇幼保健计划生育服务中心、广灵县疾病预防控制中心）</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乡镇卫生院（包括3个分院）</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门诊部</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个体诊所</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医务室</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村卫生室</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个</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129</w:t>
            </w:r>
          </w:p>
        </w:tc>
      </w:tr>
      <w:tr>
        <w:tblPrEx>
          <w:tblCellMar>
            <w:top w:w="0" w:type="dxa"/>
            <w:left w:w="0" w:type="dxa"/>
            <w:bottom w:w="0" w:type="dxa"/>
            <w:right w:w="0" w:type="dxa"/>
          </w:tblCellMar>
        </w:tblPrEx>
        <w:tc>
          <w:tcPr>
            <w:tcW w:w="1395" w:type="dxa"/>
            <w:gridSpan w:val="2"/>
            <w:vMerge w:val="restart"/>
            <w:tcBorders>
              <w:top w:val="single" w:color="auto" w:sz="8" w:space="0"/>
              <w:left w:val="single" w:color="auto" w:sz="8" w:space="0"/>
              <w:bottom w:val="single" w:color="auto" w:sz="8" w:space="0"/>
              <w:right w:val="single" w:color="auto" w:sz="8" w:space="0"/>
            </w:tcBorders>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床位总数   928张</w:t>
            </w: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县级医院</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张</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280</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民营医院</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张</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350</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乡镇卫生院（包括3个分院）</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张</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298</w:t>
            </w:r>
          </w:p>
        </w:tc>
      </w:tr>
      <w:tr>
        <w:tblPrEx>
          <w:tblCellMar>
            <w:top w:w="0" w:type="dxa"/>
            <w:left w:w="0" w:type="dxa"/>
            <w:bottom w:w="0" w:type="dxa"/>
            <w:right w:w="0" w:type="dxa"/>
          </w:tblCellMar>
        </w:tblPrEx>
        <w:tc>
          <w:tcPr>
            <w:tcW w:w="773" w:type="dxa"/>
            <w:vMerge w:val="restart"/>
            <w:tcBorders>
              <w:top w:val="single" w:color="auto" w:sz="8" w:space="0"/>
              <w:left w:val="single" w:color="auto" w:sz="8" w:space="0"/>
              <w:bottom w:val="single" w:color="auto" w:sz="8" w:space="0"/>
              <w:right w:val="single" w:color="auto" w:sz="8" w:space="0"/>
            </w:tcBorders>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卫生人员总数</w:t>
            </w:r>
          </w:p>
          <w:p>
            <w:pPr>
              <w:ind w:firstLine="0" w:firstLineChars="0"/>
              <w:rPr>
                <w:rFonts w:hint="eastAsia" w:ascii="仿宋_GB2312" w:eastAsia="仿宋_GB2312"/>
                <w:sz w:val="21"/>
                <w:szCs w:val="21"/>
              </w:rPr>
            </w:pPr>
            <w:r>
              <w:rPr>
                <w:rFonts w:hint="eastAsia" w:ascii="仿宋_GB2312" w:eastAsia="仿宋_GB2312"/>
                <w:sz w:val="21"/>
                <w:szCs w:val="21"/>
              </w:rPr>
              <w:t xml:space="preserve">849名 </w:t>
            </w:r>
          </w:p>
        </w:tc>
        <w:tc>
          <w:tcPr>
            <w:tcW w:w="622" w:type="dxa"/>
            <w:vMerge w:val="restart"/>
            <w:tcBorders>
              <w:top w:val="single" w:color="auto" w:sz="8" w:space="0"/>
              <w:left w:val="single" w:color="auto" w:sz="8" w:space="0"/>
              <w:bottom w:val="single" w:color="auto" w:sz="8" w:space="0"/>
              <w:right w:val="single" w:color="auto" w:sz="8" w:space="0"/>
            </w:tcBorders>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卫生技术人员</w:t>
            </w:r>
          </w:p>
          <w:p>
            <w:pPr>
              <w:ind w:firstLine="0" w:firstLineChars="0"/>
              <w:rPr>
                <w:rFonts w:hint="eastAsia" w:ascii="仿宋_GB2312" w:eastAsia="仿宋_GB2312"/>
                <w:sz w:val="21"/>
                <w:szCs w:val="21"/>
              </w:rPr>
            </w:pPr>
            <w:r>
              <w:rPr>
                <w:rFonts w:hint="eastAsia" w:ascii="仿宋_GB2312" w:eastAsia="仿宋_GB2312"/>
                <w:sz w:val="21"/>
                <w:szCs w:val="21"/>
              </w:rPr>
              <w:t>692名</w:t>
            </w: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主任医师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12</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副主任医师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44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主治医师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70</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医师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77</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医士</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83</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副主任护师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主管护师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52</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护师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35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护士</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65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副主任药师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2</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主管药师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药师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12</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药士</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主管检验师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3</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检验师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检验士</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技师</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3397"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其他卫技人员（村医）</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181</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p>
        </w:tc>
        <w:tc>
          <w:tcPr>
            <w:tcW w:w="4019" w:type="dxa"/>
            <w:gridSpan w:val="2"/>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非卫生技术人员</w:t>
            </w:r>
          </w:p>
        </w:tc>
        <w:tc>
          <w:tcPr>
            <w:tcW w:w="57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名</w:t>
            </w:r>
          </w:p>
        </w:tc>
        <w:tc>
          <w:tcPr>
            <w:tcW w:w="712" w:type="dxa"/>
            <w:tcBorders>
              <w:top w:val="single" w:color="auto" w:sz="8" w:space="0"/>
              <w:left w:val="single" w:color="auto" w:sz="8" w:space="0"/>
              <w:bottom w:val="single" w:color="auto" w:sz="8" w:space="0"/>
              <w:right w:val="single" w:color="auto" w:sz="8" w:space="0"/>
            </w:tcBorders>
            <w:vAlign w:val="center"/>
          </w:tcPr>
          <w:p>
            <w:pPr>
              <w:ind w:firstLine="0" w:firstLineChars="0"/>
              <w:rPr>
                <w:rFonts w:hint="eastAsia" w:ascii="仿宋_GB2312" w:eastAsia="仿宋_GB2312"/>
                <w:sz w:val="21"/>
                <w:szCs w:val="21"/>
              </w:rPr>
            </w:pPr>
            <w:r>
              <w:rPr>
                <w:rFonts w:hint="eastAsia" w:ascii="仿宋_GB2312" w:eastAsia="仿宋_GB2312"/>
                <w:sz w:val="21"/>
                <w:szCs w:val="21"/>
              </w:rPr>
              <w:t>157</w:t>
            </w:r>
          </w:p>
        </w:tc>
      </w:tr>
      <w:tr>
        <w:tblPrEx>
          <w:tblCellMar>
            <w:top w:w="0" w:type="dxa"/>
            <w:left w:w="0" w:type="dxa"/>
            <w:bottom w:w="0" w:type="dxa"/>
            <w:right w:w="0" w:type="dxa"/>
          </w:tblCellMar>
        </w:tblPrEx>
        <w:trPr>
          <w:trHeight w:val="2828" w:hRule="atLeast"/>
        </w:trPr>
        <w:tc>
          <w:tcPr>
            <w:tcW w:w="6076" w:type="dxa"/>
            <w:gridSpan w:val="5"/>
            <w:tcBorders>
              <w:top w:val="single" w:color="auto" w:sz="8" w:space="0"/>
              <w:left w:val="single" w:color="auto" w:sz="8" w:space="0"/>
              <w:bottom w:val="single" w:color="auto" w:sz="8" w:space="0"/>
              <w:right w:val="single" w:color="auto" w:sz="8" w:space="0"/>
            </w:tcBorders>
            <w:vAlign w:val="center"/>
          </w:tcPr>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注：卫技人员总数692人，其中：县级医疗机构卫生技术人员101人，县级卫生单位卫生技术人员35人，乡（镇）卫生院卫生技术人员375人，村卫生室卫生技术人181人。</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床位数：共计928张。其中：县医院180张，中医院100张，乡（镇）卫生院298张，博爱妇幼医院20张，健安医院42张，仁爱医院30张，陆元康心理医院258张</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按2021年6月全国第七次人口普查公布人数154253人计算，</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每千人拥有医生数：1.8540</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每千人拥有护士数：1.1409</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每千人拥有床位数：6.0161</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全县执业（助理）医生：两家公立医院101人+乡镇卫生院（包括村卫生室）122人+社会办医44人+卫生单位19人=286人</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全县执业护士：两家公立医院75人+乡镇卫生院（包括村卫生室）38人+社会办医50人+卫生单位13人=176人</w:t>
            </w:r>
          </w:p>
          <w:p>
            <w:pPr>
              <w:spacing w:line="320" w:lineRule="exact"/>
              <w:ind w:firstLine="0" w:firstLineChars="0"/>
              <w:rPr>
                <w:rFonts w:hint="eastAsia" w:ascii="仿宋_GB2312" w:eastAsia="仿宋_GB2312"/>
                <w:sz w:val="21"/>
                <w:szCs w:val="21"/>
              </w:rPr>
            </w:pPr>
            <w:r>
              <w:rPr>
                <w:rFonts w:hint="eastAsia" w:ascii="仿宋_GB2312" w:eastAsia="仿宋_GB2312"/>
                <w:sz w:val="21"/>
                <w:szCs w:val="21"/>
              </w:rPr>
              <w:t>全县药师数：两家公立医院13人+乡镇卫生院（包括村卫生室）2人+社会办医6人+卫生单位2人=23人</w:t>
            </w:r>
          </w:p>
        </w:tc>
      </w:tr>
    </w:tbl>
    <w:p>
      <w:pPr>
        <w:pStyle w:val="2"/>
        <w:ind w:firstLine="560"/>
        <w:rPr>
          <w:rFonts w:hint="eastAsia"/>
        </w:rPr>
      </w:pPr>
      <w:r>
        <w:rPr>
          <w:rFonts w:hint="eastAsia"/>
        </w:rPr>
        <w:t>八、人口和人民生活</w:t>
      </w:r>
    </w:p>
    <w:p>
      <w:pPr>
        <w:spacing w:line="560" w:lineRule="exact"/>
        <w:ind w:firstLine="560"/>
        <w:rPr>
          <w:rFonts w:hint="eastAsia" w:ascii="仿宋_GB2312" w:eastAsia="仿宋_GB2312"/>
          <w:szCs w:val="28"/>
        </w:rPr>
      </w:pPr>
      <w:r>
        <w:rPr>
          <w:rFonts w:hint="eastAsia" w:ascii="仿宋_GB2312" w:eastAsia="仿宋_GB2312"/>
          <w:szCs w:val="28"/>
        </w:rPr>
        <w:t>2023年公安部门统计显示，全县年末户籍总户数为76687户，户籍总人口为 180225人，其中：城镇人口44634人，乡村人口135591人。当年出生人口1133人，当年死亡人口1332人。按年龄段分0-17岁29526人；18-34岁46351人；35-59岁64849人；60-100岁以上39499人。人口出生率 6.28‰，人口死亡率7.38‰，人口自然增长率  -1.10 ‰。男女性别比为108∶100。</w:t>
      </w:r>
    </w:p>
    <w:p>
      <w:pPr>
        <w:spacing w:line="560" w:lineRule="exact"/>
        <w:ind w:firstLine="0" w:firstLineChars="0"/>
        <w:jc w:val="center"/>
        <w:rPr>
          <w:rFonts w:hint="eastAsia" w:ascii="黑体" w:hAnsi="黑体" w:eastAsia="黑体"/>
          <w:szCs w:val="28"/>
        </w:rPr>
      </w:pPr>
      <w:r>
        <w:rPr>
          <w:rFonts w:hint="eastAsia" w:ascii="仿宋_GB2312" w:eastAsia="仿宋_GB2312"/>
          <w:szCs w:val="28"/>
        </w:rPr>
        <w:br w:type="page"/>
      </w:r>
      <w:r>
        <w:rPr>
          <w:rFonts w:hint="eastAsia" w:ascii="黑体" w:hAnsi="黑体" w:eastAsia="黑体"/>
          <w:szCs w:val="28"/>
        </w:rPr>
        <w:t>（表四） 各乡镇人口及性别构成情况</w:t>
      </w:r>
    </w:p>
    <w:p>
      <w:pPr>
        <w:spacing w:line="560" w:lineRule="exact"/>
        <w:ind w:firstLine="420"/>
        <w:jc w:val="right"/>
        <w:rPr>
          <w:rFonts w:hint="eastAsia" w:ascii="仿宋_GB2312" w:eastAsia="仿宋_GB2312"/>
          <w:sz w:val="21"/>
          <w:szCs w:val="21"/>
        </w:rPr>
      </w:pPr>
      <w:r>
        <w:rPr>
          <w:rFonts w:hint="eastAsia" w:ascii="仿宋_GB2312" w:eastAsia="仿宋_GB2312"/>
          <w:sz w:val="21"/>
          <w:szCs w:val="21"/>
        </w:rPr>
        <w:t>单位：人、户</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851"/>
        <w:gridCol w:w="851"/>
        <w:gridCol w:w="851"/>
        <w:gridCol w:w="851"/>
        <w:gridCol w:w="784"/>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vMerge w:val="restart"/>
            <w:vAlign w:val="center"/>
          </w:tcPr>
          <w:p>
            <w:pPr>
              <w:ind w:firstLine="0" w:firstLineChars="0"/>
              <w:rPr>
                <w:rFonts w:hint="eastAsia" w:ascii="仿宋_GB2312" w:eastAsia="仿宋_GB2312"/>
                <w:sz w:val="21"/>
                <w:szCs w:val="21"/>
              </w:rPr>
            </w:pPr>
          </w:p>
        </w:tc>
        <w:tc>
          <w:tcPr>
            <w:tcW w:w="4188" w:type="dxa"/>
            <w:gridSpan w:val="5"/>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总   人   口</w:t>
            </w:r>
          </w:p>
        </w:tc>
        <w:tc>
          <w:tcPr>
            <w:tcW w:w="1089" w:type="dxa"/>
            <w:vMerge w:val="restart"/>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总户数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903" w:type="dxa"/>
            <w:vMerge w:val="continue"/>
            <w:vAlign w:val="center"/>
          </w:tcPr>
          <w:p>
            <w:pPr>
              <w:ind w:firstLine="0" w:firstLineChars="0"/>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合 计</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城镇</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乡村</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男</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女</w:t>
            </w:r>
          </w:p>
        </w:tc>
        <w:tc>
          <w:tcPr>
            <w:tcW w:w="1089" w:type="dxa"/>
            <w:vMerge w:val="continue"/>
            <w:vAlign w:val="center"/>
          </w:tcPr>
          <w:p>
            <w:pPr>
              <w:ind w:firstLine="0" w:firstLineChars="0"/>
              <w:jc w:val="center"/>
              <w:rPr>
                <w:rFonts w:hint="eastAsia" w:ascii="仿宋_GB2312"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合 计</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180225</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44634</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135591</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93398</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86827</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76687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壶泉镇</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61269</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44633</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16636</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31870</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29399</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28553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南村镇</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24121</w:t>
            </w:r>
          </w:p>
        </w:tc>
        <w:tc>
          <w:tcPr>
            <w:tcW w:w="851" w:type="dxa"/>
            <w:vAlign w:val="center"/>
          </w:tcPr>
          <w:p>
            <w:pPr>
              <w:ind w:firstLine="0" w:firstLineChars="0"/>
              <w:jc w:val="center"/>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24121</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12353</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11768</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加斗镇</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16998</w:t>
            </w:r>
          </w:p>
        </w:tc>
        <w:tc>
          <w:tcPr>
            <w:tcW w:w="851" w:type="dxa"/>
            <w:vAlign w:val="center"/>
          </w:tcPr>
          <w:p>
            <w:pPr>
              <w:ind w:firstLine="0" w:firstLineChars="0"/>
              <w:jc w:val="center"/>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16998</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8910</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8088</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6645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作疃镇</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18733</w:t>
            </w:r>
          </w:p>
        </w:tc>
        <w:tc>
          <w:tcPr>
            <w:tcW w:w="851" w:type="dxa"/>
            <w:vAlign w:val="center"/>
          </w:tcPr>
          <w:p>
            <w:pPr>
              <w:ind w:firstLine="0" w:firstLineChars="0"/>
              <w:jc w:val="center"/>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18733</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9813</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8920</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7615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梁庄镇</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20092</w:t>
            </w:r>
          </w:p>
        </w:tc>
        <w:tc>
          <w:tcPr>
            <w:tcW w:w="851" w:type="dxa"/>
            <w:vAlign w:val="center"/>
          </w:tcPr>
          <w:p>
            <w:pPr>
              <w:ind w:firstLine="0" w:firstLineChars="0"/>
              <w:jc w:val="center"/>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20092</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10342</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9750</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8355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斗泉乡</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11573</w:t>
            </w:r>
          </w:p>
        </w:tc>
        <w:tc>
          <w:tcPr>
            <w:tcW w:w="851" w:type="dxa"/>
            <w:vAlign w:val="center"/>
          </w:tcPr>
          <w:p>
            <w:pPr>
              <w:ind w:firstLine="0" w:firstLineChars="0"/>
              <w:jc w:val="center"/>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11573</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5967</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5606</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4504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蕉山乡</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15866</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15865</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8070</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7796</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6453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宜兴乡</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11573</w:t>
            </w:r>
          </w:p>
        </w:tc>
        <w:tc>
          <w:tcPr>
            <w:tcW w:w="851" w:type="dxa"/>
            <w:vAlign w:val="center"/>
          </w:tcPr>
          <w:p>
            <w:pPr>
              <w:ind w:firstLine="0" w:firstLineChars="0"/>
              <w:jc w:val="center"/>
              <w:rPr>
                <w:rFonts w:hint="eastAsia" w:ascii="仿宋_GB2312" w:eastAsia="仿宋_GB2312"/>
                <w:sz w:val="21"/>
                <w:szCs w:val="21"/>
              </w:rPr>
            </w:pP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11573</w:t>
            </w:r>
          </w:p>
        </w:tc>
        <w:tc>
          <w:tcPr>
            <w:tcW w:w="85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6073</w:t>
            </w:r>
          </w:p>
        </w:tc>
        <w:tc>
          <w:tcPr>
            <w:tcW w:w="781"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5500</w:t>
            </w:r>
          </w:p>
        </w:tc>
        <w:tc>
          <w:tcPr>
            <w:tcW w:w="1089" w:type="dxa"/>
            <w:vAlign w:val="center"/>
          </w:tcPr>
          <w:p>
            <w:pPr>
              <w:ind w:firstLine="0" w:firstLineChars="0"/>
              <w:jc w:val="center"/>
              <w:rPr>
                <w:rFonts w:hint="eastAsia" w:ascii="仿宋_GB2312" w:eastAsia="仿宋_GB2312"/>
                <w:sz w:val="21"/>
                <w:szCs w:val="21"/>
              </w:rPr>
            </w:pPr>
            <w:r>
              <w:rPr>
                <w:rFonts w:hint="eastAsia" w:ascii="仿宋_GB2312" w:eastAsia="仿宋_GB2312"/>
                <w:sz w:val="21"/>
                <w:szCs w:val="21"/>
              </w:rPr>
              <w:t>4514</w:t>
            </w:r>
          </w:p>
        </w:tc>
      </w:tr>
    </w:tbl>
    <w:p>
      <w:pPr>
        <w:spacing w:line="560" w:lineRule="exact"/>
        <w:ind w:firstLine="560"/>
        <w:rPr>
          <w:rFonts w:hint="eastAsia" w:ascii="仿宋_GB2312" w:eastAsia="仿宋_GB2312"/>
          <w:szCs w:val="28"/>
        </w:rPr>
      </w:pPr>
      <w:r>
        <w:rPr>
          <w:rFonts w:hint="eastAsia" w:ascii="仿宋_GB2312" w:eastAsia="仿宋_GB2312"/>
          <w:szCs w:val="28"/>
        </w:rPr>
        <w:t>城乡居民收入稳步增加。按2023年反馈数据，2022年全县城镇非私营单位工资总额617333千元，同比增长0.62%；平均工资86348元，同比增长8.94%。2023年全县居民收入16229元，同比增长11.5%；其中：城镇居民人均可支配收入30660元，增长5.7%，农村居民人均可支配收入13588元，增长14.1%。</w:t>
      </w:r>
    </w:p>
    <w:p>
      <w:pPr>
        <w:ind w:firstLine="0" w:firstLineChars="0"/>
        <w:rPr>
          <w:rFonts w:ascii="仿宋_GB2312" w:eastAsia="仿宋_GB2312"/>
          <w:szCs w:val="28"/>
        </w:rPr>
      </w:pPr>
      <w:r>
        <w:rPr>
          <w:rFonts w:hint="eastAsia" w:ascii="仿宋_GB2312" w:eastAsia="仿宋_GB2312"/>
          <w:szCs w:val="28"/>
        </w:rPr>
        <w:drawing>
          <wp:inline distT="0" distB="0" distL="114300" distR="114300">
            <wp:extent cx="3877945" cy="2955290"/>
            <wp:effectExtent l="0" t="0" r="0" b="0"/>
            <wp:docPr id="1042"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pPr>
        <w:spacing w:line="400" w:lineRule="exact"/>
        <w:ind w:firstLine="420"/>
        <w:rPr>
          <w:rFonts w:hint="eastAsia" w:ascii="黑体" w:hAnsi="黑体" w:eastAsia="黑体"/>
          <w:sz w:val="21"/>
          <w:szCs w:val="21"/>
        </w:rPr>
      </w:pPr>
      <w:r>
        <w:rPr>
          <w:rFonts w:hint="eastAsia" w:ascii="黑体" w:hAnsi="黑体" w:eastAsia="黑体"/>
          <w:sz w:val="21"/>
          <w:szCs w:val="21"/>
        </w:rPr>
        <w:t>（图8）2018-2023年城镇常住居民人均可支配收入和农村常住居民人均可支配收入及其增长速度</w:t>
      </w:r>
    </w:p>
    <w:p>
      <w:pPr>
        <w:pStyle w:val="2"/>
        <w:ind w:firstLine="560"/>
        <w:rPr>
          <w:rFonts w:hint="eastAsia"/>
        </w:rPr>
      </w:pPr>
      <w:r>
        <w:rPr>
          <w:rFonts w:hint="eastAsia"/>
        </w:rPr>
        <w:br w:type="page"/>
      </w:r>
      <w:r>
        <w:rPr>
          <w:rFonts w:hint="eastAsia"/>
        </w:rPr>
        <w:t>九、社会保障</w:t>
      </w:r>
    </w:p>
    <w:p>
      <w:pPr>
        <w:spacing w:line="560" w:lineRule="exact"/>
        <w:ind w:firstLine="560"/>
        <w:rPr>
          <w:rFonts w:hint="eastAsia" w:ascii="仿宋_GB2312" w:eastAsia="仿宋_GB2312"/>
          <w:szCs w:val="28"/>
        </w:rPr>
      </w:pPr>
      <w:r>
        <w:rPr>
          <w:rFonts w:hint="eastAsia" w:ascii="仿宋_GB2312" w:eastAsia="仿宋_GB2312"/>
          <w:szCs w:val="28"/>
        </w:rPr>
        <w:t>社会保障水平进一步提高。2023年末，全县共有城镇低保对象2388户4994人；农村低保对象13808户19169人；五保对象1805人，其中分散供养1711人，集中供养94人。全县保障对象基本做到应保尽保。</w:t>
      </w:r>
    </w:p>
    <w:p>
      <w:pPr>
        <w:spacing w:line="560" w:lineRule="exact"/>
        <w:ind w:firstLine="560"/>
        <w:rPr>
          <w:rFonts w:ascii="仿宋_GB2312" w:eastAsia="仿宋_GB2312"/>
          <w:szCs w:val="28"/>
        </w:rPr>
      </w:pPr>
      <w:r>
        <w:rPr>
          <w:rFonts w:hint="eastAsia" w:ascii="仿宋_GB2312" w:eastAsia="仿宋_GB2312"/>
          <w:szCs w:val="28"/>
        </w:rPr>
        <w:t>2023年末，全县参加基本养老保险117691人，其中：城乡居民养老保险101972人，城镇职工养老保险15719人。企业养老保险参保10611人；机关事业养老保险参保5108人。参加城镇职工基本医疗保险15030人，参加城乡居民基本医疗保险135226人；参加失业保险9290人；参加工伤保险9192人。</w:t>
      </w:r>
    </w:p>
    <w:p>
      <w:pPr>
        <w:spacing w:line="560" w:lineRule="exact"/>
        <w:ind w:firstLine="3967" w:firstLineChars="1417"/>
        <w:jc w:val="center"/>
        <w:rPr>
          <w:rFonts w:hint="eastAsia" w:ascii="仿宋_GB2312" w:eastAsia="仿宋_GB2312"/>
          <w:szCs w:val="28"/>
        </w:rPr>
      </w:pPr>
      <w:r>
        <w:rPr>
          <w:rFonts w:hint="eastAsia" w:ascii="仿宋_GB2312" w:eastAsia="仿宋_GB2312"/>
          <w:szCs w:val="28"/>
        </w:rPr>
        <w:t>广灵县统计局</w:t>
      </w:r>
    </w:p>
    <w:p>
      <w:pPr>
        <w:spacing w:line="560" w:lineRule="exact"/>
        <w:ind w:firstLine="3967" w:firstLineChars="1417"/>
        <w:jc w:val="center"/>
        <w:rPr>
          <w:rFonts w:hint="eastAsia" w:ascii="仿宋_GB2312" w:eastAsia="仿宋_GB2312"/>
          <w:szCs w:val="28"/>
        </w:rPr>
      </w:pPr>
      <w:r>
        <w:rPr>
          <w:rFonts w:hint="eastAsia" w:ascii="仿宋_GB2312" w:eastAsia="仿宋_GB2312"/>
          <w:szCs w:val="28"/>
        </w:rPr>
        <w:t>2024年2月</w:t>
      </w:r>
    </w:p>
    <w:p>
      <w:pPr>
        <w:ind w:left="2834" w:leftChars="1012" w:firstLine="560"/>
        <w:jc w:val="center"/>
        <w:rPr>
          <w:rFonts w:hint="eastAsia"/>
        </w:rPr>
      </w:pPr>
    </w:p>
    <w:p>
      <w:pPr>
        <w:ind w:left="2834" w:leftChars="1012" w:firstLine="360"/>
        <w:jc w:val="center"/>
        <w:rPr>
          <w:rFonts w:ascii="宋体" w:hAnsi="宋体"/>
          <w:color w:val="FF0000"/>
          <w:sz w:val="18"/>
          <w:szCs w:val="18"/>
        </w:rPr>
        <w:sectPr>
          <w:headerReference r:id="rId10" w:type="default"/>
          <w:footerReference r:id="rId12" w:type="default"/>
          <w:headerReference r:id="rId11" w:type="even"/>
          <w:footerReference r:id="rId13" w:type="even"/>
          <w:pgSz w:w="8392" w:h="11907"/>
          <w:pgMar w:top="1304" w:right="1134" w:bottom="1134" w:left="1134" w:header="851" w:footer="851" w:gutter="0"/>
          <w:pgNumType w:start="1"/>
          <w:cols w:space="720" w:num="1"/>
          <w:docGrid w:type="lines" w:linePitch="381" w:charSpace="0"/>
        </w:sectPr>
      </w:pPr>
    </w:p>
    <w:p>
      <w:pPr>
        <w:ind w:firstLine="602"/>
        <w:jc w:val="center"/>
        <w:rPr>
          <w:b/>
          <w:bCs/>
          <w:sz w:val="30"/>
          <w:szCs w:val="30"/>
        </w:rPr>
      </w:pPr>
      <w:r>
        <w:rPr>
          <w:rFonts w:hint="eastAsia"/>
          <w:b/>
          <w:bCs/>
          <w:sz w:val="30"/>
          <w:szCs w:val="30"/>
        </w:rPr>
        <w:t>2023年1-12月份大同市各县、区主要经济指标完成情况</w:t>
      </w:r>
    </w:p>
    <w:p>
      <w:pPr>
        <w:ind w:firstLine="361"/>
        <w:jc w:val="right"/>
        <w:rPr>
          <w:rFonts w:ascii="宋体" w:hAnsi="宋体" w:cs="宋体"/>
          <w:b/>
          <w:bCs/>
          <w:sz w:val="18"/>
          <w:szCs w:val="18"/>
        </w:rPr>
      </w:pPr>
      <w:r>
        <w:rPr>
          <w:rFonts w:hint="eastAsia"/>
          <w:b/>
          <w:bCs/>
          <w:sz w:val="18"/>
          <w:szCs w:val="18"/>
        </w:rPr>
        <w:t>单位</w:t>
      </w:r>
      <w:r>
        <w:rPr>
          <w:b/>
          <w:bCs/>
          <w:sz w:val="18"/>
          <w:szCs w:val="18"/>
        </w:rPr>
        <w:t>:</w:t>
      </w:r>
      <w:r>
        <w:rPr>
          <w:rFonts w:hint="eastAsia"/>
          <w:b/>
          <w:bCs/>
          <w:sz w:val="18"/>
          <w:szCs w:val="18"/>
        </w:rPr>
        <w:t>万元、元、</w:t>
      </w:r>
      <w:r>
        <w:rPr>
          <w:b/>
          <w:bCs/>
          <w:sz w:val="18"/>
          <w:szCs w:val="18"/>
        </w:rPr>
        <w:t>%</w:t>
      </w:r>
    </w:p>
    <w:tbl>
      <w:tblPr>
        <w:tblStyle w:val="13"/>
        <w:tblW w:w="9885" w:type="dxa"/>
        <w:jc w:val="center"/>
        <w:tblLayout w:type="fixed"/>
        <w:tblCellMar>
          <w:top w:w="0" w:type="dxa"/>
          <w:left w:w="57" w:type="dxa"/>
          <w:bottom w:w="0" w:type="dxa"/>
          <w:right w:w="57" w:type="dxa"/>
        </w:tblCellMar>
      </w:tblPr>
      <w:tblGrid>
        <w:gridCol w:w="757"/>
        <w:gridCol w:w="939"/>
        <w:gridCol w:w="400"/>
        <w:gridCol w:w="578"/>
        <w:gridCol w:w="398"/>
        <w:gridCol w:w="846"/>
        <w:gridCol w:w="398"/>
        <w:gridCol w:w="571"/>
        <w:gridCol w:w="398"/>
        <w:gridCol w:w="846"/>
        <w:gridCol w:w="398"/>
        <w:gridCol w:w="667"/>
        <w:gridCol w:w="398"/>
        <w:gridCol w:w="846"/>
        <w:gridCol w:w="398"/>
        <w:gridCol w:w="649"/>
        <w:gridCol w:w="398"/>
      </w:tblGrid>
      <w:tr>
        <w:tblPrEx>
          <w:tblCellMar>
            <w:top w:w="0" w:type="dxa"/>
            <w:left w:w="57" w:type="dxa"/>
            <w:bottom w:w="0" w:type="dxa"/>
            <w:right w:w="57" w:type="dxa"/>
          </w:tblCellMar>
        </w:tblPrEx>
        <w:trPr>
          <w:trHeight w:val="407" w:hRule="atLeast"/>
          <w:jc w:val="center"/>
        </w:trPr>
        <w:tc>
          <w:tcPr>
            <w:tcW w:w="757" w:type="dxa"/>
            <w:vMerge w:val="restart"/>
            <w:tcBorders>
              <w:top w:val="single" w:color="auto" w:sz="8" w:space="0"/>
              <w:left w:val="single" w:color="auto" w:sz="4" w:space="0"/>
              <w:bottom w:val="single" w:color="auto" w:sz="4" w:space="0"/>
              <w:right w:val="single" w:color="auto" w:sz="4" w:space="0"/>
            </w:tcBorders>
            <w:vAlign w:val="center"/>
          </w:tcPr>
          <w:p>
            <w:pPr>
              <w:widowControl/>
              <w:ind w:hanging="6" w:firstLineChars="0"/>
              <w:jc w:val="center"/>
              <w:rPr>
                <w:rFonts w:ascii="黑体" w:hAnsi="黑体" w:eastAsia="黑体" w:cs="宋体"/>
                <w:bCs/>
                <w:kern w:val="0"/>
                <w:sz w:val="18"/>
                <w:szCs w:val="18"/>
              </w:rPr>
            </w:pPr>
            <w:r>
              <w:rPr>
                <w:rFonts w:hint="eastAsia" w:ascii="黑体" w:hAnsi="黑体" w:eastAsia="黑体" w:cs="宋体"/>
                <w:bCs/>
                <w:kern w:val="0"/>
                <w:sz w:val="18"/>
                <w:szCs w:val="18"/>
              </w:rPr>
              <w:t>县（区）</w:t>
            </w:r>
          </w:p>
        </w:tc>
        <w:tc>
          <w:tcPr>
            <w:tcW w:w="2315" w:type="dxa"/>
            <w:gridSpan w:val="4"/>
            <w:tcBorders>
              <w:top w:val="single" w:color="auto" w:sz="8" w:space="0"/>
              <w:left w:val="nil"/>
              <w:bottom w:val="single" w:color="auto" w:sz="4" w:space="0"/>
              <w:right w:val="single" w:color="auto" w:sz="4" w:space="0"/>
            </w:tcBorders>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地区生产总值</w:t>
            </w:r>
          </w:p>
        </w:tc>
        <w:tc>
          <w:tcPr>
            <w:tcW w:w="2213" w:type="dxa"/>
            <w:gridSpan w:val="4"/>
            <w:tcBorders>
              <w:top w:val="single" w:color="auto" w:sz="8" w:space="0"/>
              <w:left w:val="nil"/>
              <w:bottom w:val="single" w:color="auto" w:sz="4" w:space="0"/>
              <w:right w:val="single" w:color="auto" w:sz="4" w:space="0"/>
            </w:tcBorders>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第三产业增加值</w:t>
            </w:r>
          </w:p>
        </w:tc>
        <w:tc>
          <w:tcPr>
            <w:tcW w:w="2309" w:type="dxa"/>
            <w:gridSpan w:val="4"/>
            <w:tcBorders>
              <w:top w:val="single" w:color="auto" w:sz="8" w:space="0"/>
              <w:left w:val="nil"/>
              <w:bottom w:val="single" w:color="auto" w:sz="4" w:space="0"/>
              <w:right w:val="single" w:color="auto" w:sz="4" w:space="0"/>
            </w:tcBorders>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规模以上工业增加值</w:t>
            </w:r>
          </w:p>
        </w:tc>
        <w:tc>
          <w:tcPr>
            <w:tcW w:w="2291" w:type="dxa"/>
            <w:gridSpan w:val="4"/>
            <w:tcBorders>
              <w:top w:val="single" w:color="auto" w:sz="8" w:space="0"/>
              <w:left w:val="nil"/>
              <w:bottom w:val="single" w:color="auto" w:sz="4" w:space="0"/>
              <w:right w:val="single" w:color="auto" w:sz="4" w:space="0"/>
            </w:tcBorders>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一般公共预算收入</w:t>
            </w:r>
          </w:p>
        </w:tc>
      </w:tr>
      <w:tr>
        <w:tblPrEx>
          <w:tblCellMar>
            <w:top w:w="0" w:type="dxa"/>
            <w:left w:w="57" w:type="dxa"/>
            <w:bottom w:w="0" w:type="dxa"/>
            <w:right w:w="57" w:type="dxa"/>
          </w:tblCellMar>
        </w:tblPrEx>
        <w:trPr>
          <w:trHeight w:val="358" w:hRule="atLeast"/>
          <w:jc w:val="center"/>
        </w:trPr>
        <w:tc>
          <w:tcPr>
            <w:tcW w:w="757" w:type="dxa"/>
            <w:vMerge w:val="continue"/>
            <w:tcBorders>
              <w:top w:val="single" w:color="auto" w:sz="8" w:space="0"/>
              <w:left w:val="single" w:color="auto" w:sz="4" w:space="0"/>
              <w:bottom w:val="single" w:color="auto" w:sz="4" w:space="0"/>
              <w:right w:val="single" w:color="auto" w:sz="4" w:space="0"/>
            </w:tcBorders>
            <w:vAlign w:val="center"/>
          </w:tcPr>
          <w:p>
            <w:pPr>
              <w:widowControl/>
              <w:ind w:firstLine="0" w:firstLineChars="0"/>
              <w:jc w:val="left"/>
              <w:rPr>
                <w:rFonts w:ascii="黑体" w:hAnsi="黑体" w:eastAsia="黑体" w:cs="宋体"/>
                <w:bCs/>
                <w:kern w:val="0"/>
                <w:sz w:val="18"/>
                <w:szCs w:val="18"/>
              </w:rPr>
            </w:pPr>
          </w:p>
        </w:tc>
        <w:tc>
          <w:tcPr>
            <w:tcW w:w="939"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400" w:type="dxa"/>
            <w:tcBorders>
              <w:top w:val="nil"/>
              <w:left w:val="nil"/>
              <w:bottom w:val="single" w:color="auto" w:sz="4" w:space="0"/>
              <w:right w:val="single" w:color="auto" w:sz="4" w:space="0"/>
            </w:tcBorders>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578"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排名</w:t>
            </w:r>
          </w:p>
        </w:tc>
        <w:tc>
          <w:tcPr>
            <w:tcW w:w="846"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8" w:type="dxa"/>
            <w:tcBorders>
              <w:top w:val="nil"/>
              <w:left w:val="nil"/>
              <w:bottom w:val="single" w:color="auto" w:sz="4" w:space="0"/>
              <w:right w:val="single" w:color="auto" w:sz="4" w:space="0"/>
            </w:tcBorders>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571"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vAlign w:val="center"/>
          </w:tcPr>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排名</w:t>
            </w:r>
          </w:p>
        </w:tc>
        <w:tc>
          <w:tcPr>
            <w:tcW w:w="846"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8" w:type="dxa"/>
            <w:tcBorders>
              <w:top w:val="nil"/>
              <w:left w:val="nil"/>
              <w:bottom w:val="single" w:color="auto" w:sz="4" w:space="0"/>
              <w:right w:val="single" w:color="auto" w:sz="4" w:space="0"/>
            </w:tcBorders>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306" w:hanging="306" w:hangingChars="213"/>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667"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vAlign w:val="center"/>
          </w:tcPr>
          <w:p>
            <w:pPr>
              <w:widowControl/>
              <w:spacing w:line="200" w:lineRule="exact"/>
              <w:ind w:left="306" w:hanging="306" w:hangingChars="213"/>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306" w:hanging="306" w:hangingChars="213"/>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846"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8" w:type="dxa"/>
            <w:tcBorders>
              <w:top w:val="nil"/>
              <w:left w:val="nil"/>
              <w:bottom w:val="single" w:color="auto" w:sz="4" w:space="0"/>
              <w:right w:val="single" w:color="auto" w:sz="4" w:space="0"/>
            </w:tcBorders>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649" w:type="dxa"/>
            <w:tcBorders>
              <w:top w:val="nil"/>
              <w:left w:val="nil"/>
              <w:bottom w:val="single" w:color="auto" w:sz="4" w:space="0"/>
              <w:right w:val="single" w:color="auto" w:sz="4"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vAlign w:val="center"/>
          </w:tcPr>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名</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全  市</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18715307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9623651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5.4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1940548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3.9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平城区</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5281489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2</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5.6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4224865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1</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0.2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6</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106994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云冈区</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5611359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1</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2206883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2</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5.4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4</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195158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0.3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9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新荣区</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886853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5</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252601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10</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0.0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-0.7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7</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33645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11.1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云州区</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2119851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3</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8.9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688123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3</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2.9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39.3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1</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40085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16.1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阳高县</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812925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6</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350348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6</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6.0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3</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19752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10.8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天镇县</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554400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10</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4.4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291218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9</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7.9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-55.2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10</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20490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广灵县</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654308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8</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9.7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305081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8</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12.2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134630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20.1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2</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19715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11.2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灵丘县</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747861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7</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441328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5</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-5.9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8</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28526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12.7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浑源县</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582574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9</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336063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7</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2.7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3.7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5</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26057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22.6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左云县</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1463687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4</w:t>
            </w: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2.0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527141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4</w:t>
            </w: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7.3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-7.5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9</w:t>
            </w: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207268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-11.4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10 </w:t>
            </w:r>
          </w:p>
        </w:tc>
      </w:tr>
      <w:tr>
        <w:tblPrEx>
          <w:tblCellMar>
            <w:top w:w="0" w:type="dxa"/>
            <w:left w:w="57" w:type="dxa"/>
            <w:bottom w:w="0" w:type="dxa"/>
            <w:right w:w="57" w:type="dxa"/>
          </w:tblCellMar>
        </w:tblPrEx>
        <w:trPr>
          <w:trHeight w:val="342" w:hRule="atLeast"/>
          <w:jc w:val="center"/>
        </w:trPr>
        <w:tc>
          <w:tcPr>
            <w:tcW w:w="757" w:type="dxa"/>
            <w:tcBorders>
              <w:top w:val="nil"/>
              <w:left w:val="single" w:color="auto" w:sz="4" w:space="0"/>
              <w:bottom w:val="single" w:color="auto" w:sz="4" w:space="0"/>
              <w:right w:val="single" w:color="auto" w:sz="4" w:space="0"/>
            </w:tcBorders>
          </w:tcPr>
          <w:p>
            <w:pPr>
              <w:widowControl/>
              <w:ind w:firstLine="0" w:firstLineChars="0"/>
              <w:jc w:val="center"/>
              <w:rPr>
                <w:rFonts w:ascii="宋体" w:hAnsi="宋体" w:cs="宋体"/>
                <w:bCs/>
                <w:w w:val="90"/>
                <w:kern w:val="0"/>
                <w:sz w:val="18"/>
                <w:szCs w:val="18"/>
              </w:rPr>
            </w:pPr>
            <w:r>
              <w:rPr>
                <w:rFonts w:hint="eastAsia"/>
                <w:sz w:val="18"/>
                <w:szCs w:val="18"/>
              </w:rPr>
              <w:t>开发区</w:t>
            </w:r>
          </w:p>
        </w:tc>
        <w:tc>
          <w:tcPr>
            <w:tcW w:w="93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1747674 </w:t>
            </w:r>
          </w:p>
        </w:tc>
        <w:tc>
          <w:tcPr>
            <w:tcW w:w="400"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57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12.2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350532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571"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2.8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40.6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846"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85192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c>
          <w:tcPr>
            <w:tcW w:w="649"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r>
              <w:rPr>
                <w:rFonts w:hint="eastAsia"/>
                <w:sz w:val="18"/>
                <w:szCs w:val="18"/>
              </w:rPr>
              <w:t xml:space="preserve">13.0 </w:t>
            </w:r>
          </w:p>
        </w:tc>
        <w:tc>
          <w:tcPr>
            <w:tcW w:w="398" w:type="dxa"/>
            <w:tcBorders>
              <w:top w:val="nil"/>
              <w:left w:val="nil"/>
              <w:bottom w:val="single" w:color="auto" w:sz="4" w:space="0"/>
              <w:right w:val="single" w:color="auto" w:sz="4" w:space="0"/>
            </w:tcBorders>
          </w:tcPr>
          <w:p>
            <w:pPr>
              <w:widowControl/>
              <w:ind w:firstLine="0" w:firstLineChars="0"/>
              <w:jc w:val="center"/>
              <w:rPr>
                <w:rFonts w:ascii="宋体" w:hAnsi="宋体"/>
                <w:bCs/>
                <w:w w:val="90"/>
                <w:kern w:val="0"/>
                <w:sz w:val="18"/>
                <w:szCs w:val="18"/>
              </w:rPr>
            </w:pPr>
          </w:p>
        </w:tc>
      </w:tr>
    </w:tbl>
    <w:p>
      <w:pPr>
        <w:spacing w:line="480" w:lineRule="exact"/>
        <w:ind w:firstLine="600"/>
        <w:jc w:val="center"/>
        <w:rPr>
          <w:rFonts w:ascii="方正大标宋_GBK" w:eastAsia="方正大标宋_GBK"/>
          <w:bCs/>
          <w:sz w:val="30"/>
          <w:szCs w:val="30"/>
        </w:rPr>
      </w:pPr>
      <w:r>
        <w:rPr>
          <w:rFonts w:hint="eastAsia" w:ascii="方正大标宋_GBK" w:eastAsia="方正大标宋_GBK"/>
          <w:bCs/>
          <w:sz w:val="30"/>
          <w:szCs w:val="30"/>
        </w:rPr>
        <w:t>2023年1-12月份大同市各县、区主要经济指标完成情况（续）</w:t>
      </w:r>
    </w:p>
    <w:p>
      <w:pPr>
        <w:spacing w:line="240" w:lineRule="exact"/>
        <w:ind w:firstLine="361"/>
        <w:jc w:val="right"/>
        <w:rPr>
          <w:rFonts w:ascii="宋体" w:hAnsi="宋体" w:cs="宋体"/>
          <w:b/>
          <w:bCs/>
          <w:sz w:val="18"/>
          <w:szCs w:val="18"/>
        </w:rPr>
      </w:pPr>
      <w:r>
        <w:rPr>
          <w:rFonts w:hint="eastAsia"/>
          <w:b/>
          <w:bCs/>
          <w:sz w:val="18"/>
          <w:szCs w:val="18"/>
        </w:rPr>
        <w:t>单位</w:t>
      </w:r>
      <w:r>
        <w:rPr>
          <w:b/>
          <w:bCs/>
          <w:sz w:val="18"/>
          <w:szCs w:val="18"/>
        </w:rPr>
        <w:t>:</w:t>
      </w:r>
      <w:r>
        <w:rPr>
          <w:rFonts w:hint="eastAsia"/>
          <w:b/>
          <w:bCs/>
          <w:sz w:val="18"/>
          <w:szCs w:val="18"/>
        </w:rPr>
        <w:t>万元、元、</w:t>
      </w:r>
      <w:r>
        <w:rPr>
          <w:b/>
          <w:bCs/>
          <w:sz w:val="18"/>
          <w:szCs w:val="18"/>
        </w:rPr>
        <w:t>%</w:t>
      </w:r>
    </w:p>
    <w:tbl>
      <w:tblPr>
        <w:tblStyle w:val="1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
      <w:tblGrid>
        <w:gridCol w:w="747"/>
        <w:gridCol w:w="836"/>
        <w:gridCol w:w="450"/>
        <w:gridCol w:w="658"/>
        <w:gridCol w:w="392"/>
        <w:gridCol w:w="836"/>
        <w:gridCol w:w="415"/>
        <w:gridCol w:w="577"/>
        <w:gridCol w:w="398"/>
        <w:gridCol w:w="717"/>
        <w:gridCol w:w="445"/>
        <w:gridCol w:w="506"/>
        <w:gridCol w:w="497"/>
        <w:gridCol w:w="658"/>
        <w:gridCol w:w="466"/>
        <w:gridCol w:w="569"/>
        <w:gridCol w:w="4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73" w:hRule="atLeast"/>
          <w:jc w:val="center"/>
        </w:trPr>
        <w:tc>
          <w:tcPr>
            <w:tcW w:w="747" w:type="dxa"/>
            <w:vMerge w:val="restart"/>
            <w:tcBorders>
              <w:top w:val="single" w:color="auto" w:sz="8" w:space="0"/>
              <w:left w:val="single" w:color="auto" w:sz="8" w:space="0"/>
              <w:bottom w:val="single" w:color="auto" w:sz="8" w:space="0"/>
              <w:right w:val="single" w:color="auto" w:sz="8" w:space="0"/>
            </w:tcBorders>
            <w:vAlign w:val="center"/>
          </w:tcPr>
          <w:p>
            <w:pPr>
              <w:widowControl/>
              <w:ind w:firstLine="0" w:firstLineChars="0"/>
              <w:rPr>
                <w:rFonts w:ascii="宋体" w:hAnsi="宋体" w:cs="宋体"/>
                <w:bCs/>
                <w:w w:val="90"/>
                <w:kern w:val="0"/>
                <w:sz w:val="18"/>
                <w:szCs w:val="18"/>
              </w:rPr>
            </w:pPr>
            <w:r>
              <w:rPr>
                <w:rFonts w:hint="eastAsia" w:ascii="宋体" w:hAnsi="宋体" w:cs="宋体"/>
                <w:bCs/>
                <w:w w:val="90"/>
                <w:kern w:val="0"/>
                <w:sz w:val="18"/>
                <w:szCs w:val="18"/>
              </w:rPr>
              <w:t>县（区）</w:t>
            </w:r>
          </w:p>
        </w:tc>
        <w:tc>
          <w:tcPr>
            <w:tcW w:w="2336" w:type="dxa"/>
            <w:gridSpan w:val="4"/>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宋体" w:hAnsi="宋体" w:cs="宋体"/>
                <w:bCs/>
                <w:spacing w:val="20"/>
                <w:w w:val="90"/>
                <w:kern w:val="0"/>
                <w:sz w:val="18"/>
                <w:szCs w:val="18"/>
              </w:rPr>
              <w:t>固定资产投资额</w:t>
            </w:r>
          </w:p>
        </w:tc>
        <w:tc>
          <w:tcPr>
            <w:tcW w:w="2226" w:type="dxa"/>
            <w:gridSpan w:val="4"/>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宋体" w:hAnsi="宋体" w:cs="宋体"/>
                <w:bCs/>
                <w:spacing w:val="20"/>
                <w:w w:val="90"/>
                <w:kern w:val="0"/>
                <w:sz w:val="18"/>
                <w:szCs w:val="18"/>
              </w:rPr>
              <w:t>社会消费品零售总额</w:t>
            </w:r>
          </w:p>
        </w:tc>
        <w:tc>
          <w:tcPr>
            <w:tcW w:w="2165" w:type="dxa"/>
            <w:gridSpan w:val="4"/>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85"/>
                <w:kern w:val="0"/>
                <w:sz w:val="18"/>
                <w:szCs w:val="18"/>
              </w:rPr>
            </w:pPr>
            <w:r>
              <w:rPr>
                <w:rFonts w:hint="eastAsia" w:ascii="宋体" w:hAnsi="宋体" w:cs="宋体"/>
                <w:bCs/>
                <w:w w:val="85"/>
                <w:kern w:val="0"/>
                <w:sz w:val="18"/>
                <w:szCs w:val="18"/>
              </w:rPr>
              <w:t>城镇常住居民人均可支配收入</w:t>
            </w:r>
          </w:p>
        </w:tc>
        <w:tc>
          <w:tcPr>
            <w:tcW w:w="2180" w:type="dxa"/>
            <w:gridSpan w:val="4"/>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85"/>
                <w:kern w:val="0"/>
                <w:sz w:val="18"/>
                <w:szCs w:val="18"/>
              </w:rPr>
            </w:pPr>
            <w:r>
              <w:rPr>
                <w:rFonts w:hint="eastAsia" w:ascii="宋体" w:hAnsi="宋体" w:cs="宋体"/>
                <w:bCs/>
                <w:w w:val="85"/>
                <w:kern w:val="0"/>
                <w:sz w:val="18"/>
                <w:szCs w:val="18"/>
              </w:rPr>
              <w:t>农村常住居民人均可支配收入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24" w:hRule="atLeast"/>
          <w:jc w:val="center"/>
        </w:trPr>
        <w:tc>
          <w:tcPr>
            <w:tcW w:w="747" w:type="dxa"/>
            <w:vMerge w:val="continue"/>
            <w:tcBorders>
              <w:top w:val="single" w:color="auto" w:sz="8" w:space="0"/>
              <w:left w:val="single" w:color="auto" w:sz="8" w:space="0"/>
              <w:bottom w:val="single" w:color="auto" w:sz="8" w:space="0"/>
              <w:right w:val="single" w:color="auto" w:sz="8" w:space="0"/>
            </w:tcBorders>
            <w:vAlign w:val="center"/>
          </w:tcPr>
          <w:p>
            <w:pPr>
              <w:widowControl/>
              <w:ind w:firstLine="0" w:firstLineChars="0"/>
              <w:jc w:val="left"/>
              <w:rPr>
                <w:rFonts w:ascii="宋体" w:hAnsi="宋体" w:cs="宋体"/>
                <w:bCs/>
                <w:w w:val="90"/>
                <w:kern w:val="0"/>
                <w:sz w:val="18"/>
                <w:szCs w:val="18"/>
              </w:rPr>
            </w:pPr>
          </w:p>
        </w:tc>
        <w:tc>
          <w:tcPr>
            <w:tcW w:w="836"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50"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658"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392"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836"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15"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577"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398"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717"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45"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506"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497"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658"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66"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569"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487" w:type="dxa"/>
            <w:tcBorders>
              <w:top w:val="single" w:color="auto" w:sz="8" w:space="0"/>
              <w:left w:val="single" w:color="auto" w:sz="8" w:space="0"/>
              <w:bottom w:val="single" w:color="auto" w:sz="8" w:space="0"/>
              <w:right w:val="single" w:color="auto" w:sz="8" w:space="0"/>
            </w:tcBorders>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全  市</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7048247</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-9.1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7622195</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0.6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40907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4.9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15223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9.8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平城区</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2241740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1</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-17.4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8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3936892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0.3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8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44261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4.3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云冈区</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1091886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2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0.4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6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1519693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2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0.5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7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43272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2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4.5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7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23496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9.1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7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新荣区</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474518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5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5.3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5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159622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7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0.2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9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34422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4.5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7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14519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8.4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8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云州区</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995807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3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6.4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3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511287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3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2.0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3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28917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10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6.3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15881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11.3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阳高县</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431651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6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-27.4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9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140771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8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2.0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3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30736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7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5.1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14173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11.3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天镇县</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339102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8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13.1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2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136874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9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1.2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5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30730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8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5.2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13318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7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13.6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广灵县</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332790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9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35.8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132731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10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2.1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2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30660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5.7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2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13588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6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14.1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灵丘县</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514782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4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-33.4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10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402128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4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2.3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37185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5.5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13004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8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12.9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浑源县</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260823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10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-14.7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7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383491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5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0.7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6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31783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6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4.3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12927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9.9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6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左云县</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365148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7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5.4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4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298708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6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0.1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xml:space="preserve">10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37646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3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5.1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5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19225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2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8.4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xml:space="preserve">8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cs="宋体"/>
                <w:bCs/>
                <w:w w:val="90"/>
                <w:kern w:val="0"/>
                <w:sz w:val="18"/>
                <w:szCs w:val="18"/>
              </w:rPr>
            </w:pPr>
            <w:r>
              <w:rPr>
                <w:rFonts w:hint="eastAsia" w:ascii="黑体" w:hAnsi="黑体" w:eastAsia="黑体"/>
                <w:sz w:val="18"/>
                <w:szCs w:val="18"/>
              </w:rPr>
              <w:t>开发区</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678964 </w:t>
            </w:r>
          </w:p>
        </w:tc>
        <w:tc>
          <w:tcPr>
            <w:tcW w:w="450"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0.8 </w:t>
            </w:r>
          </w:p>
        </w:tc>
        <w:tc>
          <w:tcPr>
            <w:tcW w:w="392"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w:t>
            </w:r>
          </w:p>
        </w:tc>
        <w:tc>
          <w:tcPr>
            <w:tcW w:w="83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330509 </w:t>
            </w:r>
          </w:p>
        </w:tc>
        <w:tc>
          <w:tcPr>
            <w:tcW w:w="41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w:t>
            </w:r>
          </w:p>
        </w:tc>
        <w:tc>
          <w:tcPr>
            <w:tcW w:w="57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8"/>
                <w:szCs w:val="18"/>
              </w:rPr>
              <w:t xml:space="preserve">2.3 </w:t>
            </w:r>
          </w:p>
        </w:tc>
        <w:tc>
          <w:tcPr>
            <w:tcW w:w="39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b/>
                <w:bCs/>
                <w:sz w:val="18"/>
                <w:szCs w:val="18"/>
              </w:rPr>
              <w:t>　</w:t>
            </w:r>
          </w:p>
        </w:tc>
        <w:tc>
          <w:tcPr>
            <w:tcW w:w="71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445"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50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49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658"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466"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569"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c>
          <w:tcPr>
            <w:tcW w:w="487" w:type="dxa"/>
            <w:tcBorders>
              <w:top w:val="single" w:color="auto" w:sz="8" w:space="0"/>
              <w:left w:val="single" w:color="auto" w:sz="8" w:space="0"/>
              <w:bottom w:val="single" w:color="auto" w:sz="8" w:space="0"/>
              <w:right w:val="single" w:color="auto" w:sz="8" w:space="0"/>
            </w:tcBorders>
            <w:vAlign w:val="center"/>
          </w:tcPr>
          <w:p>
            <w:pPr>
              <w:widowControl/>
              <w:ind w:firstLine="0" w:firstLineChars="0"/>
              <w:jc w:val="center"/>
              <w:rPr>
                <w:rFonts w:ascii="宋体" w:hAnsi="宋体"/>
                <w:bCs/>
                <w:w w:val="90"/>
                <w:kern w:val="0"/>
                <w:sz w:val="18"/>
                <w:szCs w:val="18"/>
              </w:rPr>
            </w:pPr>
            <w:r>
              <w:rPr>
                <w:rFonts w:ascii="Times New Roman" w:hAnsi="Times New Roman" w:cs="Times New Roman"/>
                <w:sz w:val="19"/>
                <w:szCs w:val="19"/>
              </w:rPr>
              <w:t>　</w:t>
            </w:r>
          </w:p>
        </w:tc>
      </w:tr>
    </w:tbl>
    <w:p>
      <w:pPr>
        <w:spacing w:line="80" w:lineRule="exact"/>
        <w:ind w:left="2833" w:leftChars="1012" w:firstLine="300"/>
        <w:jc w:val="center"/>
        <w:rPr>
          <w:sz w:val="15"/>
          <w:szCs w:val="15"/>
        </w:rPr>
      </w:pPr>
    </w:p>
    <w:p>
      <w:pPr>
        <w:widowControl/>
        <w:ind w:firstLine="0" w:firstLineChars="0"/>
        <w:jc w:val="left"/>
        <w:rPr>
          <w:color w:val="FF0000"/>
        </w:rPr>
        <w:sectPr>
          <w:pgSz w:w="11907" w:h="8392" w:orient="landscape"/>
          <w:pgMar w:top="1021" w:right="1021" w:bottom="1021" w:left="1134" w:header="851" w:footer="851" w:gutter="0"/>
          <w:cols w:space="720" w:num="1"/>
          <w:docGrid w:type="linesAndChars" w:linePitch="312" w:charSpace="0"/>
        </w:sectPr>
      </w:pPr>
    </w:p>
    <w:p>
      <w:pPr>
        <w:ind w:firstLine="0" w:firstLineChars="0"/>
        <w:jc w:val="center"/>
        <w:rPr>
          <w:rFonts w:ascii="方正大标宋_GBK" w:eastAsia="方正大标宋_GBK"/>
          <w:szCs w:val="28"/>
        </w:rPr>
      </w:pPr>
      <w:r>
        <w:rPr>
          <w:rFonts w:hint="eastAsia" w:ascii="方正大标宋_GBK" w:eastAsia="方正大标宋_GBK"/>
          <w:szCs w:val="28"/>
        </w:rPr>
        <w:t>202</w:t>
      </w:r>
      <w:r>
        <w:rPr>
          <w:rFonts w:ascii="方正大标宋_GBK" w:eastAsia="方正大标宋_GBK"/>
          <w:szCs w:val="28"/>
        </w:rPr>
        <w:t>3</w:t>
      </w:r>
      <w:r>
        <w:rPr>
          <w:rFonts w:hint="eastAsia" w:ascii="方正大标宋_GBK" w:eastAsia="方正大标宋_GBK"/>
          <w:szCs w:val="28"/>
        </w:rPr>
        <w:t>年十二月全县主要经济指标完成情况</w:t>
      </w:r>
    </w:p>
    <w:tbl>
      <w:tblPr>
        <w:tblStyle w:val="13"/>
        <w:tblW w:w="6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835"/>
        <w:gridCol w:w="1113"/>
        <w:gridCol w:w="973"/>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blHeader/>
          <w:jc w:val="center"/>
        </w:trPr>
        <w:tc>
          <w:tcPr>
            <w:tcW w:w="180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0" w:firstLineChars="0"/>
              <w:jc w:val="center"/>
              <w:rPr>
                <w:b/>
                <w:bCs/>
                <w:kern w:val="0"/>
                <w:sz w:val="16"/>
                <w:szCs w:val="16"/>
              </w:rPr>
            </w:pPr>
            <w:r>
              <w:rPr>
                <w:rFonts w:hint="eastAsia"/>
                <w:sz w:val="16"/>
                <w:szCs w:val="16"/>
              </w:rPr>
              <w:t>项</w:t>
            </w:r>
            <w:r>
              <w:rPr>
                <w:sz w:val="16"/>
                <w:szCs w:val="16"/>
              </w:rPr>
              <w:t xml:space="preserve">   </w:t>
            </w:r>
            <w:r>
              <w:rPr>
                <w:rFonts w:hint="eastAsia"/>
                <w:sz w:val="16"/>
                <w:szCs w:val="16"/>
              </w:rPr>
              <w:t>目</w:t>
            </w:r>
          </w:p>
        </w:tc>
        <w:tc>
          <w:tcPr>
            <w:tcW w:w="83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单位</w:t>
            </w:r>
          </w:p>
        </w:tc>
        <w:tc>
          <w:tcPr>
            <w:tcW w:w="1113"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0" w:firstLineChars="0"/>
              <w:jc w:val="center"/>
              <w:rPr>
                <w:rFonts w:ascii="宋体" w:hAnsi="宋体" w:cs="宋体"/>
                <w:b/>
                <w:bCs/>
                <w:kern w:val="0"/>
                <w:sz w:val="16"/>
                <w:szCs w:val="16"/>
              </w:rPr>
            </w:pPr>
            <w:r>
              <w:rPr>
                <w:sz w:val="16"/>
                <w:szCs w:val="16"/>
              </w:rPr>
              <w:t>1-12</w:t>
            </w:r>
            <w:r>
              <w:rPr>
                <w:rFonts w:hint="eastAsia"/>
                <w:sz w:val="16"/>
                <w:szCs w:val="16"/>
              </w:rPr>
              <w:t>月完成</w:t>
            </w:r>
          </w:p>
        </w:tc>
        <w:tc>
          <w:tcPr>
            <w:tcW w:w="973"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去年同期</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同比增长</w:t>
            </w:r>
            <w:r>
              <w:rPr>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sz w:val="16"/>
                <w:szCs w:val="16"/>
              </w:rPr>
            </w:pPr>
            <w:r>
              <w:rPr>
                <w:rFonts w:hint="eastAsia"/>
                <w:sz w:val="16"/>
                <w:szCs w:val="16"/>
              </w:rPr>
              <w:t>地区生产总值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654308</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602111</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9.7（不变价）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sz w:val="16"/>
                <w:szCs w:val="16"/>
              </w:rPr>
            </w:pPr>
            <w:r>
              <w:rPr>
                <w:rFonts w:hint="eastAsia"/>
                <w:sz w:val="16"/>
                <w:szCs w:val="16"/>
              </w:rPr>
              <w:t>第一产业增加值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117637</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106910</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sz w:val="16"/>
                <w:szCs w:val="16"/>
              </w:rPr>
            </w:pPr>
            <w:r>
              <w:rPr>
                <w:rFonts w:hint="eastAsia"/>
                <w:sz w:val="16"/>
                <w:szCs w:val="16"/>
              </w:rPr>
              <w:t>1.2（不变价）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第二产业增加值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231590</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227365</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11.7（不变价）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第三产业增加值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305081</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267836</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12.2（不变价）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农林牧渔业总产值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195537</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177876</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粮食总产量</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191462</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187888</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规模以上工业总产值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380685</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398841</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工业销售产值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362302</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332997</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产品销售率</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95.17 </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83.49 </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11.68（百分点）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工业增加值</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134630</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141450</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20.1（可比价）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工业实现利税</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73521</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42959</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71.14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工业实现利润</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43868</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25193</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74.13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工业销售收入</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402371</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293170</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37.25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工业上缴税金</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17792.4 </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14065.3 </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26.49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炸 药</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13056 </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15372 </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-15.07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发 电</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万度</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197516</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167096</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18.21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其中：风电</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万度</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176321</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145322</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水 泥</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820073 </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845800 </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-3.04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再生铅</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37313 </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63860 </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-41.57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混凝土</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254949</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244046</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富锰渣</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28975</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16360</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77.11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生铁</w:t>
            </w:r>
          </w:p>
        </w:tc>
        <w:tc>
          <w:tcPr>
            <w:tcW w:w="835"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11670</w:t>
            </w:r>
          </w:p>
        </w:tc>
        <w:tc>
          <w:tcPr>
            <w:tcW w:w="973"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8922</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00" w:lineRule="exact"/>
              <w:ind w:firstLine="0" w:firstLineChars="0"/>
              <w:jc w:val="center"/>
              <w:rPr>
                <w:rFonts w:ascii="宋体" w:hAnsi="宋体" w:cs="宋体"/>
                <w:color w:val="FF0000"/>
                <w:sz w:val="16"/>
                <w:szCs w:val="16"/>
              </w:rPr>
            </w:pPr>
            <w:r>
              <w:rPr>
                <w:rFonts w:hint="eastAsia"/>
                <w:sz w:val="16"/>
                <w:szCs w:val="16"/>
              </w:rPr>
              <w:t xml:space="preserve">30.80 </w:t>
            </w:r>
          </w:p>
        </w:tc>
      </w:tr>
    </w:tbl>
    <w:p>
      <w:pPr>
        <w:widowControl/>
        <w:ind w:firstLine="0" w:firstLineChars="0"/>
        <w:jc w:val="left"/>
        <w:rPr>
          <w:rFonts w:ascii="方正大标宋_GBK" w:eastAsia="方正大标宋_GBK"/>
          <w:color w:val="FF0000"/>
          <w:sz w:val="16"/>
          <w:szCs w:val="16"/>
        </w:rPr>
      </w:pPr>
      <w:r>
        <w:rPr>
          <w:rFonts w:hint="eastAsia" w:ascii="方正大标宋_GBK" w:eastAsia="方正大标宋_GBK"/>
          <w:color w:val="FF0000"/>
          <w:sz w:val="16"/>
          <w:szCs w:val="16"/>
        </w:rPr>
        <w:br w:type="page"/>
      </w:r>
    </w:p>
    <w:p>
      <w:pPr>
        <w:ind w:firstLine="0" w:firstLineChars="0"/>
        <w:jc w:val="center"/>
        <w:rPr>
          <w:rFonts w:ascii="方正大标宋_GBK" w:eastAsia="方正大标宋_GBK"/>
          <w:szCs w:val="28"/>
        </w:rPr>
      </w:pPr>
      <w:r>
        <w:rPr>
          <w:rFonts w:hint="eastAsia" w:ascii="方正大标宋_GBK" w:eastAsia="方正大标宋_GBK"/>
          <w:szCs w:val="28"/>
        </w:rPr>
        <w:t>202</w:t>
      </w:r>
      <w:r>
        <w:rPr>
          <w:rFonts w:ascii="方正大标宋_GBK" w:eastAsia="方正大标宋_GBK"/>
          <w:szCs w:val="28"/>
        </w:rPr>
        <w:t>3</w:t>
      </w:r>
      <w:r>
        <w:rPr>
          <w:rFonts w:hint="eastAsia" w:ascii="方正大标宋_GBK" w:eastAsia="方正大标宋_GBK"/>
          <w:szCs w:val="28"/>
        </w:rPr>
        <w:t>年十二月全县主要经济指标完成情况（续）</w:t>
      </w:r>
    </w:p>
    <w:tbl>
      <w:tblPr>
        <w:tblStyle w:val="13"/>
        <w:tblW w:w="6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833"/>
        <w:gridCol w:w="1113"/>
        <w:gridCol w:w="1113"/>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项</w:t>
            </w:r>
            <w:r>
              <w:rPr>
                <w:sz w:val="16"/>
                <w:szCs w:val="16"/>
              </w:rPr>
              <w:t xml:space="preserve">   </w:t>
            </w:r>
            <w:r>
              <w:rPr>
                <w:rFonts w:hint="eastAsia"/>
                <w:sz w:val="16"/>
                <w:szCs w:val="16"/>
              </w:rPr>
              <w:t>目</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单位</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sz w:val="16"/>
                <w:szCs w:val="16"/>
              </w:rPr>
              <w:t>1-12</w:t>
            </w:r>
            <w:r>
              <w:rPr>
                <w:rFonts w:hint="eastAsia"/>
                <w:sz w:val="16"/>
                <w:szCs w:val="16"/>
              </w:rPr>
              <w:t>月完成</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去年同期</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同比增长</w:t>
            </w:r>
            <w:r>
              <w:rPr>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小米及杂粮</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4048</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3217</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锌</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7243 </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1320 </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448.92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钢结构</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4256.3</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7726</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-44.91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煤矸石砖</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万块</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5465</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5828</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锌合金</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10554 </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9807 </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7.61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铝合金锭</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100726 </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75174 </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调味料</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箱</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293408</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0</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财政总收入</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40718.3</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28344.1</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一般公共预算收入</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19715.4</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17737</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一般公共预算支出</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258428</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231520</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11.63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社会</w:t>
            </w:r>
            <w:r>
              <w:rPr>
                <w:rFonts w:hint="eastAsia"/>
                <w:sz w:val="16"/>
                <w:szCs w:val="16"/>
                <w:lang w:eastAsia="zh-CN"/>
              </w:rPr>
              <w:t>消</w:t>
            </w:r>
            <w:r>
              <w:rPr>
                <w:rFonts w:hint="eastAsia"/>
                <w:sz w:val="16"/>
                <w:szCs w:val="16"/>
              </w:rPr>
              <w:t>费品零售总额</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132730.6</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130064</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其中：限上单位</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23629.2</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22024.7</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固定资产投资额</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332790</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244988</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35.8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居民收入</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16229</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14554</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城镇居民人均可支配收入</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30660</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29007</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5.7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农村居民人均可支配收入</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13588</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11909</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全县各项存款余额</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1229667</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1075102</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全县各项贷款余额</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517202</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443702</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082"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城乡居民储蓄存款余额</w:t>
            </w:r>
          </w:p>
        </w:tc>
        <w:tc>
          <w:tcPr>
            <w:tcW w:w="83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1045342</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916996</w:t>
            </w:r>
          </w:p>
        </w:tc>
        <w:tc>
          <w:tcPr>
            <w:tcW w:w="111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14</w:t>
            </w:r>
          </w:p>
        </w:tc>
      </w:tr>
    </w:tbl>
    <w:p>
      <w:pPr>
        <w:ind w:firstLine="320"/>
        <w:rPr>
          <w:sz w:val="16"/>
          <w:szCs w:val="16"/>
        </w:rPr>
      </w:pPr>
    </w:p>
    <w:sectPr>
      <w:pgSz w:w="8392" w:h="11907"/>
      <w:pgMar w:top="1304" w:right="1134" w:bottom="1134" w:left="1134" w:header="851" w:footer="851" w:gutter="0"/>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方正大标宋_GBK">
    <w:panose1 w:val="03000509000000000000"/>
    <w:charset w:val="86"/>
    <w:family w:val="script"/>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480" w:firstLine="0" w:firstLineChars="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jc w:val="right"/>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19</w:t>
    </w:r>
    <w:r>
      <w:rPr>
        <w:sz w:val="24"/>
        <w:szCs w:val="24"/>
      </w:rPr>
      <w:fldChar w:fldCharType="end"/>
    </w:r>
    <w:r>
      <w:rPr>
        <w:sz w:val="24"/>
        <w:szCs w:val="24"/>
      </w:rPr>
      <w:t xml:space="preserve"> </w:t>
    </w:r>
    <w:r>
      <w:rPr>
        <w:rFonts w:hint="eastAsia"/>
        <w:sz w:val="24"/>
        <w:szCs w:val="2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20</w:t>
    </w:r>
    <w:r>
      <w:rPr>
        <w:sz w:val="24"/>
        <w:szCs w:val="24"/>
      </w:rPr>
      <w:fldChar w:fldCharType="end"/>
    </w:r>
    <w:r>
      <w:rPr>
        <w:sz w:val="24"/>
        <w:szCs w:val="24"/>
      </w:rPr>
      <w:t xml:space="preserve"> </w:t>
    </w:r>
    <w:r>
      <w:rPr>
        <w:rFonts w:hint="eastAsia"/>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2023 </w:t>
    </w:r>
    <w:r>
      <w:rPr>
        <w:rFonts w:hint="eastAsia"/>
      </w:rPr>
      <w:t>年广灵县国民经济和社会发展统计公报</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2023 </w:t>
    </w:r>
    <w:r>
      <w:rPr>
        <w:rFonts w:hint="eastAsia"/>
      </w:rPr>
      <w:t>年广灵县国民经济和社会发展统计公报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40"/>
  <w:drawingGridVerticalSpacing w:val="381"/>
  <w:displayHorizontalDrawingGridEvery w:val="2"/>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JiY2M1MmMyZWNhYTMxMmE5NmJhYzA4NDcyNWVmZTEifQ=="/>
  </w:docVars>
  <w:rsids>
    <w:rsidRoot w:val="00CC5B04"/>
    <w:rsid w:val="00082548"/>
    <w:rsid w:val="000D62D1"/>
    <w:rsid w:val="002D73BF"/>
    <w:rsid w:val="003A678A"/>
    <w:rsid w:val="003F4CAE"/>
    <w:rsid w:val="00425867"/>
    <w:rsid w:val="00427ED6"/>
    <w:rsid w:val="005E35D0"/>
    <w:rsid w:val="00726DC5"/>
    <w:rsid w:val="00932553"/>
    <w:rsid w:val="00A70A2D"/>
    <w:rsid w:val="00AA3907"/>
    <w:rsid w:val="00AE349D"/>
    <w:rsid w:val="00B37904"/>
    <w:rsid w:val="00B9493E"/>
    <w:rsid w:val="00BD3E1B"/>
    <w:rsid w:val="00CC5B04"/>
    <w:rsid w:val="00D15623"/>
    <w:rsid w:val="00DA6A7D"/>
    <w:rsid w:val="00DE7D75"/>
    <w:rsid w:val="00E13486"/>
    <w:rsid w:val="00E30A8A"/>
    <w:rsid w:val="00E91FC6"/>
    <w:rsid w:val="01B3708F"/>
    <w:rsid w:val="026E6480"/>
    <w:rsid w:val="03BF4F5F"/>
    <w:rsid w:val="05281FC8"/>
    <w:rsid w:val="055C132D"/>
    <w:rsid w:val="05AC17C0"/>
    <w:rsid w:val="05FB189F"/>
    <w:rsid w:val="06DF3030"/>
    <w:rsid w:val="08D33937"/>
    <w:rsid w:val="0A731BFB"/>
    <w:rsid w:val="0B892750"/>
    <w:rsid w:val="0C681826"/>
    <w:rsid w:val="0DAF2220"/>
    <w:rsid w:val="0DDA3FEE"/>
    <w:rsid w:val="0E7F623D"/>
    <w:rsid w:val="0F62504F"/>
    <w:rsid w:val="1053332C"/>
    <w:rsid w:val="10AD0C8E"/>
    <w:rsid w:val="1104640A"/>
    <w:rsid w:val="11C2064E"/>
    <w:rsid w:val="127E0301"/>
    <w:rsid w:val="133B07D3"/>
    <w:rsid w:val="13457FBA"/>
    <w:rsid w:val="137D2B9A"/>
    <w:rsid w:val="13CA1FE0"/>
    <w:rsid w:val="14293E2F"/>
    <w:rsid w:val="14322DF3"/>
    <w:rsid w:val="151D24B3"/>
    <w:rsid w:val="159134C4"/>
    <w:rsid w:val="15991342"/>
    <w:rsid w:val="188F71B7"/>
    <w:rsid w:val="18B828C6"/>
    <w:rsid w:val="18EF26B4"/>
    <w:rsid w:val="191F1517"/>
    <w:rsid w:val="197A7BFB"/>
    <w:rsid w:val="19B5620B"/>
    <w:rsid w:val="1B2A795B"/>
    <w:rsid w:val="1B336060"/>
    <w:rsid w:val="1BD0165B"/>
    <w:rsid w:val="1C110501"/>
    <w:rsid w:val="1D5C5F16"/>
    <w:rsid w:val="1E8E2B0B"/>
    <w:rsid w:val="1EDE7630"/>
    <w:rsid w:val="1F264A2D"/>
    <w:rsid w:val="20A7394C"/>
    <w:rsid w:val="20F47B8A"/>
    <w:rsid w:val="21A0113C"/>
    <w:rsid w:val="21C97F2F"/>
    <w:rsid w:val="231865F9"/>
    <w:rsid w:val="24585B21"/>
    <w:rsid w:val="24C15F6C"/>
    <w:rsid w:val="24EA3BC4"/>
    <w:rsid w:val="25A466AC"/>
    <w:rsid w:val="263E4A20"/>
    <w:rsid w:val="26EA27E4"/>
    <w:rsid w:val="27623589"/>
    <w:rsid w:val="27CC5901"/>
    <w:rsid w:val="286C301C"/>
    <w:rsid w:val="28AE79B7"/>
    <w:rsid w:val="28D573CB"/>
    <w:rsid w:val="2AFE685E"/>
    <w:rsid w:val="2B4F3203"/>
    <w:rsid w:val="2C2D4942"/>
    <w:rsid w:val="2C923702"/>
    <w:rsid w:val="2D721447"/>
    <w:rsid w:val="2E7E0DDA"/>
    <w:rsid w:val="2F1543F2"/>
    <w:rsid w:val="2FA33530"/>
    <w:rsid w:val="32594961"/>
    <w:rsid w:val="32EE71B8"/>
    <w:rsid w:val="342D5ABF"/>
    <w:rsid w:val="36C701C8"/>
    <w:rsid w:val="38B966AB"/>
    <w:rsid w:val="38FE48DE"/>
    <w:rsid w:val="39A04EA6"/>
    <w:rsid w:val="39B06F76"/>
    <w:rsid w:val="3A6E24CA"/>
    <w:rsid w:val="3A9A0CA9"/>
    <w:rsid w:val="3ADD7CDB"/>
    <w:rsid w:val="3BD57167"/>
    <w:rsid w:val="3C4D13F4"/>
    <w:rsid w:val="3D0715A3"/>
    <w:rsid w:val="3DF526A3"/>
    <w:rsid w:val="3DFC7A07"/>
    <w:rsid w:val="3E236248"/>
    <w:rsid w:val="3EBA1EDB"/>
    <w:rsid w:val="3ED01E68"/>
    <w:rsid w:val="3F060CF1"/>
    <w:rsid w:val="3F5C2528"/>
    <w:rsid w:val="3F720FE7"/>
    <w:rsid w:val="3F980BD8"/>
    <w:rsid w:val="3FDC6525"/>
    <w:rsid w:val="40322DDA"/>
    <w:rsid w:val="40441101"/>
    <w:rsid w:val="413761CE"/>
    <w:rsid w:val="416E0E94"/>
    <w:rsid w:val="418E370F"/>
    <w:rsid w:val="4230334A"/>
    <w:rsid w:val="42D27F5D"/>
    <w:rsid w:val="436167AF"/>
    <w:rsid w:val="440F1C8C"/>
    <w:rsid w:val="44A40E8D"/>
    <w:rsid w:val="45835E86"/>
    <w:rsid w:val="477B2C4A"/>
    <w:rsid w:val="479E390D"/>
    <w:rsid w:val="47AC5CE2"/>
    <w:rsid w:val="483C1783"/>
    <w:rsid w:val="4A653DAC"/>
    <w:rsid w:val="4AAB4B38"/>
    <w:rsid w:val="4BB36C16"/>
    <w:rsid w:val="4C236741"/>
    <w:rsid w:val="4C50121F"/>
    <w:rsid w:val="4CAC7C0B"/>
    <w:rsid w:val="4D430511"/>
    <w:rsid w:val="4DA26B04"/>
    <w:rsid w:val="4E1707ED"/>
    <w:rsid w:val="4EAF1A9A"/>
    <w:rsid w:val="4F4F296F"/>
    <w:rsid w:val="4FB33DB8"/>
    <w:rsid w:val="50663C75"/>
    <w:rsid w:val="51015A1A"/>
    <w:rsid w:val="51371713"/>
    <w:rsid w:val="52CD7DAA"/>
    <w:rsid w:val="53C94344"/>
    <w:rsid w:val="54325AE7"/>
    <w:rsid w:val="54613836"/>
    <w:rsid w:val="55516CBC"/>
    <w:rsid w:val="55987C5B"/>
    <w:rsid w:val="562C585C"/>
    <w:rsid w:val="56B04601"/>
    <w:rsid w:val="57923122"/>
    <w:rsid w:val="581F22F7"/>
    <w:rsid w:val="591B57BE"/>
    <w:rsid w:val="59A670B6"/>
    <w:rsid w:val="59E53C61"/>
    <w:rsid w:val="5A1D3D5C"/>
    <w:rsid w:val="5A7F0572"/>
    <w:rsid w:val="5A9340F5"/>
    <w:rsid w:val="5A9712FD"/>
    <w:rsid w:val="5B4041A6"/>
    <w:rsid w:val="5BBA0A2C"/>
    <w:rsid w:val="5BD317DD"/>
    <w:rsid w:val="5C431BEC"/>
    <w:rsid w:val="5D245D05"/>
    <w:rsid w:val="5DCF397A"/>
    <w:rsid w:val="5EF33BF4"/>
    <w:rsid w:val="5F535DEE"/>
    <w:rsid w:val="5FDB133A"/>
    <w:rsid w:val="605A5FC7"/>
    <w:rsid w:val="610D42FE"/>
    <w:rsid w:val="61C15914"/>
    <w:rsid w:val="637A0F9E"/>
    <w:rsid w:val="639C6B04"/>
    <w:rsid w:val="661F2DBE"/>
    <w:rsid w:val="6650106C"/>
    <w:rsid w:val="66D460EA"/>
    <w:rsid w:val="69050D30"/>
    <w:rsid w:val="69054EB8"/>
    <w:rsid w:val="695E7EED"/>
    <w:rsid w:val="6B11645B"/>
    <w:rsid w:val="6B19231D"/>
    <w:rsid w:val="6BE56D52"/>
    <w:rsid w:val="6C443E48"/>
    <w:rsid w:val="6CF53B45"/>
    <w:rsid w:val="6D9B34BE"/>
    <w:rsid w:val="6E221DA8"/>
    <w:rsid w:val="6E3C7683"/>
    <w:rsid w:val="6EFC1D3A"/>
    <w:rsid w:val="6F83245B"/>
    <w:rsid w:val="6F953E02"/>
    <w:rsid w:val="72A42E14"/>
    <w:rsid w:val="72A95256"/>
    <w:rsid w:val="753541F8"/>
    <w:rsid w:val="75495D8B"/>
    <w:rsid w:val="758D193E"/>
    <w:rsid w:val="760E7E6B"/>
    <w:rsid w:val="764473C1"/>
    <w:rsid w:val="76475826"/>
    <w:rsid w:val="77431DA5"/>
    <w:rsid w:val="774502E9"/>
    <w:rsid w:val="77495D38"/>
    <w:rsid w:val="775E1BFB"/>
    <w:rsid w:val="777032C5"/>
    <w:rsid w:val="77C4480D"/>
    <w:rsid w:val="77EB44FB"/>
    <w:rsid w:val="784D0027"/>
    <w:rsid w:val="78707CA6"/>
    <w:rsid w:val="7A4B0B46"/>
    <w:rsid w:val="7BA051AE"/>
    <w:rsid w:val="7C6E0818"/>
    <w:rsid w:val="7C8372EE"/>
    <w:rsid w:val="7C8F68E3"/>
    <w:rsid w:val="7D67555F"/>
    <w:rsid w:val="7F770EB8"/>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80" w:firstLineChars="200"/>
      <w:jc w:val="both"/>
    </w:pPr>
    <w:rPr>
      <w:rFonts w:ascii="Calibri" w:hAnsi="Calibri" w:eastAsia="宋体" w:cs="Mongolian Baiti"/>
      <w:kern w:val="2"/>
      <w:sz w:val="28"/>
      <w:szCs w:val="24"/>
      <w:lang w:val="en-US" w:eastAsia="zh-CN" w:bidi="ar-SA"/>
    </w:rPr>
  </w:style>
  <w:style w:type="paragraph" w:styleId="2">
    <w:name w:val="heading 1"/>
    <w:basedOn w:val="1"/>
    <w:next w:val="1"/>
    <w:link w:val="16"/>
    <w:qFormat/>
    <w:uiPriority w:val="9"/>
    <w:pPr>
      <w:keepNext/>
      <w:keepLines/>
      <w:spacing w:line="600" w:lineRule="exact"/>
      <w:ind w:firstLine="200"/>
      <w:jc w:val="left"/>
      <w:outlineLvl w:val="0"/>
    </w:pPr>
    <w:rPr>
      <w:rFonts w:eastAsia="黑体"/>
      <w:bCs/>
      <w:kern w:val="44"/>
      <w:szCs w:val="44"/>
    </w:rPr>
  </w:style>
  <w:style w:type="paragraph" w:styleId="3">
    <w:name w:val="heading 2"/>
    <w:basedOn w:val="1"/>
    <w:next w:val="1"/>
    <w:autoRedefine/>
    <w:semiHidden/>
    <w:unhideWhenUsed/>
    <w:qFormat/>
    <w:uiPriority w:val="9"/>
    <w:pPr>
      <w:widowControl/>
      <w:spacing w:before="100" w:beforeAutospacing="1" w:after="100" w:afterAutospacing="1"/>
      <w:jc w:val="left"/>
      <w:outlineLvl w:val="1"/>
    </w:pPr>
    <w:rPr>
      <w:rFonts w:ascii="宋体" w:hAnsi="宋体" w:cs="Times New Roman"/>
      <w:b/>
      <w:bCs/>
      <w:kern w:val="0"/>
      <w:sz w:val="36"/>
      <w:szCs w:val="36"/>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 w:val="32"/>
    </w:rPr>
  </w:style>
  <w:style w:type="paragraph" w:styleId="5">
    <w:name w:val="Body Text Indent"/>
    <w:basedOn w:val="1"/>
    <w:next w:val="4"/>
    <w:autoRedefine/>
    <w:qFormat/>
    <w:uiPriority w:val="0"/>
    <w:pPr>
      <w:spacing w:after="120"/>
      <w:ind w:left="420" w:leftChars="200"/>
    </w:pPr>
  </w:style>
  <w:style w:type="paragraph" w:styleId="6">
    <w:name w:val="Date"/>
    <w:basedOn w:val="1"/>
    <w:next w:val="1"/>
    <w:link w:val="26"/>
    <w:semiHidden/>
    <w:unhideWhenUsed/>
    <w:uiPriority w:val="99"/>
    <w:pPr>
      <w:ind w:left="100" w:leftChars="2500"/>
    </w:pPr>
  </w:style>
  <w:style w:type="paragraph" w:styleId="7">
    <w:name w:val="Balloon Text"/>
    <w:basedOn w:val="1"/>
    <w:autoRedefine/>
    <w:qFormat/>
    <w:uiPriority w:val="0"/>
    <w:rPr>
      <w:rFonts w:ascii="Times New Roman" w:hAnsi="Times New Roman" w:cs="Times New Roman"/>
      <w:sz w:val="18"/>
      <w:szCs w:val="18"/>
    </w:rPr>
  </w:style>
  <w:style w:type="paragraph" w:styleId="8">
    <w:name w:val="footer"/>
    <w:basedOn w:val="1"/>
    <w:link w:val="28"/>
    <w:autoRedefine/>
    <w:qFormat/>
    <w:uiPriority w:val="0"/>
    <w:pPr>
      <w:tabs>
        <w:tab w:val="center" w:pos="4153"/>
        <w:tab w:val="right" w:pos="8306"/>
      </w:tabs>
      <w:snapToGrid w:val="0"/>
      <w:jc w:val="left"/>
    </w:pPr>
    <w:rPr>
      <w:rFonts w:ascii="Times New Roman" w:hAnsi="Times New Roman" w:cs="Times New Roman"/>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ind w:right="400" w:firstLine="0" w:firstLineChars="0"/>
    </w:pPr>
    <w:rPr>
      <w:rFonts w:ascii="Times New Roman" w:hAnsi="Times New Roman" w:cs="Times New Roman"/>
      <w:sz w:val="18"/>
      <w:szCs w:val="18"/>
    </w:rPr>
  </w:style>
  <w:style w:type="paragraph" w:styleId="10">
    <w:name w:val="Normal (Web)"/>
    <w:basedOn w:val="1"/>
    <w:autoRedefine/>
    <w:qFormat/>
    <w:uiPriority w:val="0"/>
    <w:pPr>
      <w:widowControl/>
      <w:spacing w:before="100" w:beforeAutospacing="1" w:after="100" w:afterAutospacing="1"/>
      <w:jc w:val="left"/>
    </w:pPr>
    <w:rPr>
      <w:rFonts w:ascii="宋体" w:hAnsi="宋体" w:cs="Times New Roman"/>
      <w:kern w:val="0"/>
      <w:sz w:val="24"/>
    </w:rPr>
  </w:style>
  <w:style w:type="paragraph" w:styleId="11">
    <w:name w:val="Title"/>
    <w:basedOn w:val="1"/>
    <w:next w:val="1"/>
    <w:link w:val="17"/>
    <w:autoRedefine/>
    <w:qFormat/>
    <w:uiPriority w:val="10"/>
    <w:pPr>
      <w:spacing w:before="40" w:after="40"/>
      <w:ind w:firstLine="0" w:firstLineChars="0"/>
      <w:jc w:val="center"/>
      <w:outlineLvl w:val="0"/>
    </w:pPr>
    <w:rPr>
      <w:rFonts w:ascii="方正大标宋_GBK" w:hAnsi="等线 Light" w:eastAsia="方正大标宋_GBK"/>
      <w:bCs/>
      <w:sz w:val="36"/>
      <w:szCs w:val="32"/>
    </w:rPr>
  </w:style>
  <w:style w:type="paragraph" w:styleId="12">
    <w:name w:val="Body Text First Indent 2"/>
    <w:basedOn w:val="5"/>
    <w:next w:val="1"/>
    <w:autoRedefine/>
    <w:qFormat/>
    <w:uiPriority w:val="0"/>
    <w:pPr>
      <w:ind w:firstLine="420"/>
    </w:pPr>
  </w:style>
  <w:style w:type="character" w:styleId="15">
    <w:name w:val="page number"/>
    <w:basedOn w:val="14"/>
    <w:autoRedefine/>
    <w:qFormat/>
    <w:uiPriority w:val="0"/>
    <w:rPr>
      <w:rFonts w:ascii="Times New Roman" w:hAnsi="Times New Roman" w:eastAsia="宋体" w:cs="Times New Roman"/>
    </w:rPr>
  </w:style>
  <w:style w:type="character" w:customStyle="1" w:styleId="16">
    <w:name w:val="标题 1 字符"/>
    <w:link w:val="2"/>
    <w:autoRedefine/>
    <w:qFormat/>
    <w:uiPriority w:val="9"/>
    <w:rPr>
      <w:rFonts w:ascii="Calibri" w:hAnsi="Calibri" w:eastAsia="黑体" w:cs="Mongolian Baiti"/>
      <w:bCs/>
      <w:kern w:val="44"/>
      <w:sz w:val="28"/>
      <w:szCs w:val="44"/>
    </w:rPr>
  </w:style>
  <w:style w:type="character" w:customStyle="1" w:styleId="17">
    <w:name w:val="标题 字符"/>
    <w:link w:val="11"/>
    <w:autoRedefine/>
    <w:qFormat/>
    <w:uiPriority w:val="0"/>
    <w:rPr>
      <w:rFonts w:ascii="方正大标宋_GBK" w:hAnsi="等线 Light" w:eastAsia="方正大标宋_GBK" w:cs="Mongolian Baiti"/>
      <w:bCs/>
      <w:kern w:val="2"/>
      <w:sz w:val="36"/>
      <w:szCs w:val="32"/>
    </w:rPr>
  </w:style>
  <w:style w:type="character" w:customStyle="1" w:styleId="18">
    <w:name w:val="NormalCharacter"/>
    <w:autoRedefine/>
    <w:qFormat/>
    <w:uiPriority w:val="0"/>
    <w:rPr>
      <w:rFonts w:ascii="Calibri" w:hAnsi="Calibri" w:eastAsia="宋体" w:cs="Mongolian Baiti"/>
      <w:kern w:val="2"/>
      <w:sz w:val="28"/>
      <w:szCs w:val="24"/>
      <w:lang w:val="en-US" w:eastAsia="zh-CN" w:bidi="ar-SA"/>
    </w:rPr>
  </w:style>
  <w:style w:type="character" w:customStyle="1" w:styleId="19">
    <w:name w:val="引用 字符"/>
    <w:link w:val="20"/>
    <w:autoRedefine/>
    <w:qFormat/>
    <w:uiPriority w:val="0"/>
    <w:rPr>
      <w:rFonts w:ascii="Times New Roman" w:hAnsi="Times New Roman" w:eastAsia="宋体" w:cs="Times New Roman"/>
      <w:i/>
      <w:iCs/>
      <w:color w:val="404040"/>
      <w:kern w:val="2"/>
      <w:sz w:val="28"/>
      <w:szCs w:val="24"/>
    </w:rPr>
  </w:style>
  <w:style w:type="paragraph" w:styleId="20">
    <w:name w:val="Quote"/>
    <w:basedOn w:val="1"/>
    <w:next w:val="1"/>
    <w:link w:val="19"/>
    <w:autoRedefine/>
    <w:qFormat/>
    <w:uiPriority w:val="0"/>
    <w:pPr>
      <w:spacing w:before="200" w:after="160"/>
      <w:ind w:left="864" w:right="864"/>
      <w:jc w:val="center"/>
    </w:pPr>
    <w:rPr>
      <w:i/>
      <w:iCs/>
      <w:color w:val="404040"/>
    </w:rPr>
  </w:style>
  <w:style w:type="paragraph" w:customStyle="1" w:styleId="21">
    <w:name w:val="签发人"/>
    <w:basedOn w:val="1"/>
    <w:autoRedefine/>
    <w:qFormat/>
    <w:uiPriority w:val="0"/>
    <w:rPr>
      <w:rFonts w:ascii="Times New Roman" w:hAnsi="Times New Roman" w:eastAsia="楷体" w:cs="Times New Roman"/>
      <w:sz w:val="32"/>
      <w:szCs w:val="32"/>
    </w:rPr>
  </w:style>
  <w:style w:type="paragraph" w:customStyle="1" w:styleId="22">
    <w:name w:val="p0"/>
    <w:basedOn w:val="1"/>
    <w:qFormat/>
    <w:uiPriority w:val="0"/>
    <w:pPr>
      <w:widowControl/>
    </w:pPr>
    <w:rPr>
      <w:rFonts w:ascii="Times New Roman" w:hAnsi="Times New Roman" w:cs="Times New Roman"/>
      <w:kern w:val="0"/>
      <w:szCs w:val="21"/>
    </w:rPr>
  </w:style>
  <w:style w:type="paragraph" w:customStyle="1" w:styleId="23">
    <w:name w:val="style21"/>
    <w:basedOn w:val="1"/>
    <w:autoRedefine/>
    <w:qFormat/>
    <w:uiPriority w:val="0"/>
    <w:pPr>
      <w:widowControl/>
      <w:spacing w:before="100" w:beforeAutospacing="1" w:after="100" w:afterAutospacing="1"/>
      <w:jc w:val="left"/>
    </w:pPr>
    <w:rPr>
      <w:rFonts w:ascii="宋体" w:hAnsi="宋体" w:cs="宋体"/>
      <w:kern w:val="0"/>
      <w:sz w:val="27"/>
      <w:szCs w:val="27"/>
    </w:rPr>
  </w:style>
  <w:style w:type="paragraph" w:customStyle="1" w:styleId="24">
    <w:name w:val="1"/>
    <w:basedOn w:val="2"/>
    <w:link w:val="25"/>
    <w:qFormat/>
    <w:uiPriority w:val="0"/>
    <w:pPr>
      <w:keepNext w:val="0"/>
      <w:keepLines w:val="0"/>
      <w:spacing w:line="560" w:lineRule="exact"/>
      <w:jc w:val="both"/>
    </w:pPr>
    <w:rPr>
      <w:rFonts w:ascii="宋体" w:hAnsi="宋体" w:eastAsia="宋体" w:cs="宋体"/>
      <w:szCs w:val="28"/>
    </w:rPr>
  </w:style>
  <w:style w:type="character" w:customStyle="1" w:styleId="25">
    <w:name w:val="1 字符"/>
    <w:basedOn w:val="16"/>
    <w:link w:val="24"/>
    <w:autoRedefine/>
    <w:qFormat/>
    <w:uiPriority w:val="0"/>
    <w:rPr>
      <w:rFonts w:ascii="宋体" w:hAnsi="宋体" w:eastAsia="黑体" w:cs="宋体"/>
      <w:kern w:val="44"/>
      <w:sz w:val="28"/>
      <w:szCs w:val="28"/>
    </w:rPr>
  </w:style>
  <w:style w:type="character" w:customStyle="1" w:styleId="26">
    <w:name w:val="日期 字符"/>
    <w:basedOn w:val="14"/>
    <w:link w:val="6"/>
    <w:autoRedefine/>
    <w:semiHidden/>
    <w:qFormat/>
    <w:uiPriority w:val="99"/>
    <w:rPr>
      <w:rFonts w:ascii="Calibri" w:hAnsi="Calibri" w:cs="Mongolian Baiti"/>
      <w:kern w:val="2"/>
      <w:sz w:val="28"/>
      <w:szCs w:val="24"/>
    </w:rPr>
  </w:style>
  <w:style w:type="paragraph" w:customStyle="1" w:styleId="27">
    <w:name w:val="msonormal"/>
    <w:basedOn w:val="1"/>
    <w:autoRedefine/>
    <w:uiPriority w:val="0"/>
    <w:pPr>
      <w:widowControl/>
      <w:spacing w:before="100" w:beforeAutospacing="1" w:after="100" w:afterAutospacing="1"/>
      <w:ind w:firstLine="0" w:firstLineChars="0"/>
      <w:jc w:val="left"/>
    </w:pPr>
    <w:rPr>
      <w:rFonts w:ascii="宋体" w:hAnsi="宋体" w:cs="宋体"/>
      <w:kern w:val="0"/>
      <w:sz w:val="24"/>
    </w:rPr>
  </w:style>
  <w:style w:type="character" w:customStyle="1" w:styleId="28">
    <w:name w:val="页脚 字符"/>
    <w:basedOn w:val="14"/>
    <w:link w:val="8"/>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chart" Target="charts/chart8.xml"/><Relationship Id="rId22" Type="http://schemas.openxmlformats.org/officeDocument/2006/relationships/chart" Target="charts/chart7.xml"/><Relationship Id="rId21" Type="http://schemas.openxmlformats.org/officeDocument/2006/relationships/chart" Target="charts/chart6.xml"/><Relationship Id="rId20" Type="http://schemas.openxmlformats.org/officeDocument/2006/relationships/chart" Target="charts/chart5.xml"/><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oleObject" Target="file:///E:\Personal\Desktop\2023&#24180;&#24191;&#28789;&#21439;&#22269;&#27665;&#32463;&#27982;&#21644;&#31038;&#20250;&#21457;&#23637;\(20240229&#23450;&#31295;)&#24191;&#28789;&#21439;2023&#24180;&#22269;&#27665;&#32463;&#27982;&#21644;&#31038;&#20250;&#21457;&#23637;&#32479;&#35745;&#20844;&#25253;.docx!_1771161175"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8793181403786"/>
          <c:y val="0.127621398209633"/>
          <c:w val="0.711491442542787"/>
          <c:h val="0.799450549450549"/>
        </c:manualLayout>
      </c:layout>
      <c:barChart>
        <c:barDir val="col"/>
        <c:grouping val="clustered"/>
        <c:varyColors val="0"/>
        <c:ser>
          <c:idx val="1"/>
          <c:order val="0"/>
          <c:tx>
            <c:strRef>
              <c:f>Sheet1!$A$2</c:f>
              <c:strCache>
                <c:ptCount val="1"/>
                <c:pt idx="0">
                  <c:v>地区生产总值</c:v>
                </c:pt>
              </c:strCache>
            </c:strRef>
          </c:tx>
          <c:invertIfNegative val="0"/>
          <c:dLbls>
            <c:spPr>
              <a:noFill/>
              <a:ln w="1904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343799</c:v>
                </c:pt>
                <c:pt idx="1">
                  <c:v>407690</c:v>
                </c:pt>
                <c:pt idx="2">
                  <c:v>423615</c:v>
                </c:pt>
                <c:pt idx="3">
                  <c:v>525813</c:v>
                </c:pt>
                <c:pt idx="4">
                  <c:v>603984</c:v>
                </c:pt>
                <c:pt idx="5">
                  <c:v>654308</c:v>
                </c:pt>
              </c:numCache>
            </c:numRef>
          </c:val>
        </c:ser>
        <c:dLbls>
          <c:showLegendKey val="0"/>
          <c:showVal val="1"/>
          <c:showCatName val="0"/>
          <c:showSerName val="0"/>
          <c:showPercent val="0"/>
          <c:showBubbleSize val="0"/>
        </c:dLbls>
        <c:gapWidth val="150"/>
        <c:axId val="226130944"/>
        <c:axId val="227513856"/>
      </c:barChart>
      <c:lineChart>
        <c:grouping val="standard"/>
        <c:varyColors val="0"/>
        <c:ser>
          <c:idx val="0"/>
          <c:order val="1"/>
          <c:tx>
            <c:strRef>
              <c:f>Sheet1!$A$3</c:f>
              <c:strCache>
                <c:ptCount val="1"/>
                <c:pt idx="0">
                  <c:v>增幅﹪</c:v>
                </c:pt>
              </c:strCache>
            </c:strRef>
          </c:tx>
          <c:marker>
            <c:symbol val="none"/>
          </c:marker>
          <c:dLbls>
            <c:spPr>
              <a:noFill/>
              <a:ln w="1904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0.00%</c:formatCode>
                <c:ptCount val="6"/>
                <c:pt idx="0">
                  <c:v>0.064</c:v>
                </c:pt>
                <c:pt idx="1">
                  <c:v>0.087</c:v>
                </c:pt>
                <c:pt idx="2">
                  <c:v>0.015</c:v>
                </c:pt>
                <c:pt idx="3">
                  <c:v>0.083</c:v>
                </c:pt>
                <c:pt idx="4">
                  <c:v>0.095</c:v>
                </c:pt>
                <c:pt idx="5">
                  <c:v>0.097</c:v>
                </c:pt>
              </c:numCache>
            </c:numRef>
          </c:val>
          <c:smooth val="0"/>
        </c:ser>
        <c:dLbls>
          <c:showLegendKey val="0"/>
          <c:showVal val="0"/>
          <c:showCatName val="0"/>
          <c:showSerName val="0"/>
          <c:showPercent val="0"/>
          <c:showBubbleSize val="0"/>
        </c:dLbls>
        <c:marker val="0"/>
        <c:smooth val="0"/>
        <c:axId val="43046016"/>
        <c:axId val="43047552"/>
      </c:lineChart>
      <c:catAx>
        <c:axId val="226130944"/>
        <c:scaling>
          <c:orientation val="minMax"/>
        </c:scaling>
        <c:delete val="0"/>
        <c:axPos val="b"/>
        <c:numFmt formatCode="General" sourceLinked="1"/>
        <c:majorTickMark val="in"/>
        <c:minorTickMark val="none"/>
        <c:tickLblPos val="nextTo"/>
        <c:spPr>
          <a:ln w="2381"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27513856"/>
        <c:crosses val="autoZero"/>
        <c:auto val="0"/>
        <c:lblAlgn val="ctr"/>
        <c:lblOffset val="100"/>
        <c:noMultiLvlLbl val="0"/>
      </c:catAx>
      <c:valAx>
        <c:axId val="22751385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904645476772616"/>
              <c:y val="0.043956043956044"/>
            </c:manualLayout>
          </c:layout>
          <c:overlay val="0"/>
          <c:spPr>
            <a:noFill/>
            <a:ln w="19049">
              <a:noFill/>
            </a:ln>
          </c:spPr>
        </c:title>
        <c:numFmt formatCode="General" sourceLinked="1"/>
        <c:majorTickMark val="in"/>
        <c:minorTickMark val="none"/>
        <c:tickLblPos val="nextTo"/>
        <c:spPr>
          <a:ln w="2381"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6130944"/>
        <c:crosses val="autoZero"/>
        <c:crossBetween val="between"/>
      </c:valAx>
      <c:catAx>
        <c:axId val="430460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47552"/>
        <c:crosses val="autoZero"/>
        <c:auto val="0"/>
        <c:lblAlgn val="ctr"/>
        <c:lblOffset val="100"/>
        <c:noMultiLvlLbl val="0"/>
      </c:catAx>
      <c:valAx>
        <c:axId val="43047552"/>
        <c:scaling>
          <c:orientation val="minMax"/>
        </c:scaling>
        <c:delete val="0"/>
        <c:axPos val="r"/>
        <c:numFmt formatCode="0.0%" sourceLinked="0"/>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46016"/>
        <c:crosses val="max"/>
        <c:crossBetween val="between"/>
      </c:valAx>
    </c:plotArea>
    <c:legend>
      <c:legendPos val="r"/>
      <c:layout>
        <c:manualLayout>
          <c:xMode val="edge"/>
          <c:yMode val="edge"/>
          <c:x val="0.238104477798781"/>
          <c:y val="0.103368383532347"/>
          <c:w val="0.227027027027027"/>
          <c:h val="0.0914699332161095"/>
        </c:manualLayout>
      </c:layout>
      <c:overlay val="0"/>
      <c:spPr>
        <a:solidFill>
          <a:srgbClr val="FFFFFF"/>
        </a:solidFill>
        <a:ln w="2381">
          <a:solidFill>
            <a:srgbClr val="000000"/>
          </a:solidFill>
          <a:prstDash val="solid"/>
        </a:ln>
      </c:spPr>
      <c:txPr>
        <a:bodyPr rot="0" spcFirstLastPara="0" vertOverflow="ellipsis" vert="horz" wrap="square" anchor="ctr" anchorCtr="1"/>
        <a:lstStyle/>
        <a:p>
          <a:pPr>
            <a:defRPr lang="zh-CN" sz="69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05063291139241"/>
          <c:y val="0.138613861386139"/>
          <c:w val="0.708860759493671"/>
          <c:h val="0.772277227722772"/>
        </c:manualLayout>
      </c:layout>
      <c:barChart>
        <c:barDir val="col"/>
        <c:grouping val="clustered"/>
        <c:varyColors val="0"/>
        <c:ser>
          <c:idx val="1"/>
          <c:order val="0"/>
          <c:tx>
            <c:strRef>
              <c:f>Sheet1!$A$2</c:f>
              <c:strCache>
                <c:ptCount val="1"/>
                <c:pt idx="0">
                  <c:v>粮食总产量</c:v>
                </c:pt>
              </c:strCache>
            </c:strRef>
          </c:tx>
          <c:invertIfNegative val="0"/>
          <c:dLbls>
            <c:spPr>
              <a:noFill/>
              <a:ln w="16651">
                <a:noFill/>
              </a:ln>
              <a:effectLst/>
            </c:spPr>
            <c:txPr>
              <a:bodyPr rot="0" spcFirstLastPara="0" vertOverflow="ellipsis" vert="horz" wrap="square" lIns="38100" tIns="19050" rIns="38100" bIns="19050" anchor="ctr" anchorCtr="1">
                <a:spAutoFit/>
              </a:bodyPr>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183937.4</c:v>
                </c:pt>
                <c:pt idx="1">
                  <c:v>182140.5</c:v>
                </c:pt>
                <c:pt idx="2">
                  <c:v>183729.4</c:v>
                </c:pt>
                <c:pt idx="3">
                  <c:v>185903</c:v>
                </c:pt>
                <c:pt idx="4">
                  <c:v>187888.24</c:v>
                </c:pt>
                <c:pt idx="5">
                  <c:v>191462.3</c:v>
                </c:pt>
              </c:numCache>
            </c:numRef>
          </c:val>
        </c:ser>
        <c:dLbls>
          <c:showLegendKey val="0"/>
          <c:showVal val="1"/>
          <c:showCatName val="0"/>
          <c:showSerName val="0"/>
          <c:showPercent val="0"/>
          <c:showBubbleSize val="0"/>
        </c:dLbls>
        <c:gapWidth val="150"/>
        <c:axId val="43282432"/>
        <c:axId val="43285120"/>
      </c:barChart>
      <c:lineChart>
        <c:grouping val="standard"/>
        <c:varyColors val="0"/>
        <c:ser>
          <c:idx val="0"/>
          <c:order val="1"/>
          <c:tx>
            <c:strRef>
              <c:f>Sheet1!$A$3</c:f>
              <c:strCache>
                <c:ptCount val="1"/>
                <c:pt idx="0">
                  <c:v>增幅﹪</c:v>
                </c:pt>
              </c:strCache>
            </c:strRef>
          </c:tx>
          <c:dLbls>
            <c:spPr>
              <a:noFill/>
              <a:ln w="16651">
                <a:noFill/>
              </a:ln>
              <a:effectLst/>
            </c:spPr>
            <c:txPr>
              <a:bodyPr rot="0" spcFirstLastPara="0" vertOverflow="ellipsis" vert="horz" wrap="square" lIns="38100" tIns="19050" rIns="38100" bIns="19050" anchor="ctr" anchorCtr="1">
                <a:spAutoFit/>
              </a:bodyPr>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General</c:formatCode>
                <c:ptCount val="6"/>
                <c:pt idx="0">
                  <c:v>3.85</c:v>
                </c:pt>
                <c:pt idx="1">
                  <c:v>-0.98</c:v>
                </c:pt>
                <c:pt idx="2">
                  <c:v>0.87</c:v>
                </c:pt>
                <c:pt idx="3">
                  <c:v>1.2</c:v>
                </c:pt>
                <c:pt idx="4">
                  <c:v>1.1</c:v>
                </c:pt>
                <c:pt idx="5">
                  <c:v>1.9</c:v>
                </c:pt>
              </c:numCache>
            </c:numRef>
          </c:val>
          <c:smooth val="0"/>
        </c:ser>
        <c:dLbls>
          <c:showLegendKey val="0"/>
          <c:showVal val="1"/>
          <c:showCatName val="0"/>
          <c:showSerName val="0"/>
          <c:showPercent val="0"/>
          <c:showBubbleSize val="0"/>
        </c:dLbls>
        <c:marker val="1"/>
        <c:smooth val="0"/>
        <c:axId val="43287296"/>
        <c:axId val="43288832"/>
      </c:lineChart>
      <c:catAx>
        <c:axId val="43282432"/>
        <c:scaling>
          <c:orientation val="minMax"/>
        </c:scaling>
        <c:delete val="0"/>
        <c:axPos val="b"/>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3285120"/>
        <c:crosses val="autoZero"/>
        <c:auto val="0"/>
        <c:lblAlgn val="ctr"/>
        <c:lblOffset val="100"/>
        <c:tickLblSkip val="1"/>
        <c:noMultiLvlLbl val="0"/>
      </c:catAx>
      <c:valAx>
        <c:axId val="43285120"/>
        <c:scaling>
          <c:orientation val="minMax"/>
        </c:scaling>
        <c:delete val="0"/>
        <c:axPos val="l"/>
        <c:title>
          <c:tx>
            <c:rich>
              <a:bodyPr rot="0" spcFirstLastPara="0" vertOverflow="ellipsis" vert="horz" wrap="square" anchor="ctr" anchorCtr="1"/>
              <a:lstStyle/>
              <a:p>
                <a:pPr algn="ctr">
                  <a:defRPr lang="zh-CN" sz="65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吨</a:t>
                </a:r>
                <a:endParaRPr lang="zh-CN" altLang="en-US"/>
              </a:p>
            </c:rich>
          </c:tx>
          <c:layout>
            <c:manualLayout>
              <c:xMode val="edge"/>
              <c:yMode val="edge"/>
              <c:x val="0.124050632911392"/>
              <c:y val="0.0561056105610561"/>
            </c:manualLayout>
          </c:layout>
          <c:overlay val="0"/>
          <c:spPr>
            <a:noFill/>
            <a:ln w="16651">
              <a:noFill/>
            </a:ln>
          </c:spPr>
        </c:title>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2432"/>
        <c:crosses val="autoZero"/>
        <c:crossBetween val="between"/>
      </c:valAx>
      <c:catAx>
        <c:axId val="4328729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8832"/>
        <c:crosses val="autoZero"/>
        <c:auto val="0"/>
        <c:lblAlgn val="ctr"/>
        <c:lblOffset val="100"/>
        <c:noMultiLvlLbl val="0"/>
      </c:catAx>
      <c:valAx>
        <c:axId val="43288832"/>
        <c:scaling>
          <c:orientation val="minMax"/>
        </c:scaling>
        <c:delete val="0"/>
        <c:axPos val="r"/>
        <c:title>
          <c:tx>
            <c:rich>
              <a:bodyPr rot="-120000" spcFirstLastPara="0" vertOverflow="ellipsis" vert="horz" wrap="square" anchor="ctr" anchorCtr="1"/>
              <a:lstStyle/>
              <a:p>
                <a:pPr algn="ct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24050632911392"/>
              <c:y val="0.0429042904290429"/>
            </c:manualLayout>
          </c:layout>
          <c:overlay val="0"/>
          <c:spPr>
            <a:noFill/>
            <a:ln w="16651">
              <a:noFill/>
            </a:ln>
          </c:spPr>
        </c:title>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7296"/>
        <c:crosses val="max"/>
        <c:crossBetween val="between"/>
      </c:valAx>
    </c:plotArea>
    <c:legend>
      <c:legendPos val="r"/>
      <c:layout>
        <c:manualLayout>
          <c:xMode val="edge"/>
          <c:yMode val="edge"/>
          <c:x val="0.336708860759494"/>
          <c:y val="0"/>
          <c:w val="0.473417721518987"/>
          <c:h val="0.108910891089109"/>
        </c:manualLayout>
      </c:layout>
      <c:overlay val="0"/>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655"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7115384615385"/>
          <c:y val="0.142857142857143"/>
          <c:w val="0.713942307692308"/>
          <c:h val="0.763066202090592"/>
        </c:manualLayout>
      </c:layout>
      <c:barChart>
        <c:barDir val="col"/>
        <c:grouping val="clustered"/>
        <c:varyColors val="0"/>
        <c:ser>
          <c:idx val="1"/>
          <c:order val="0"/>
          <c:tx>
            <c:strRef>
              <c:f>Sheet1!$A$2</c:f>
              <c:strCache>
                <c:ptCount val="1"/>
                <c:pt idx="0">
                  <c:v>规模以上工业增加值</c:v>
                </c:pt>
              </c:strCache>
            </c:strRef>
          </c:tx>
          <c:spPr>
            <a:solidFill>
              <a:srgbClr val="00B0F0"/>
            </a:solidFill>
          </c:spPr>
          <c:invertIfNegative val="0"/>
          <c:dLbls>
            <c:spPr>
              <a:noFill/>
              <a:ln w="19033">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52649</c:v>
                </c:pt>
                <c:pt idx="1">
                  <c:v>87603</c:v>
                </c:pt>
                <c:pt idx="2">
                  <c:v>89572</c:v>
                </c:pt>
                <c:pt idx="3">
                  <c:v>116410</c:v>
                </c:pt>
                <c:pt idx="4">
                  <c:v>136624</c:v>
                </c:pt>
                <c:pt idx="5">
                  <c:v>134630</c:v>
                </c:pt>
              </c:numCache>
            </c:numRef>
          </c:val>
        </c:ser>
        <c:dLbls>
          <c:showLegendKey val="0"/>
          <c:showVal val="1"/>
          <c:showCatName val="0"/>
          <c:showSerName val="0"/>
          <c:showPercent val="0"/>
          <c:showBubbleSize val="0"/>
        </c:dLbls>
        <c:gapWidth val="150"/>
        <c:axId val="43061248"/>
        <c:axId val="43063936"/>
      </c:barChart>
      <c:lineChart>
        <c:grouping val="standard"/>
        <c:varyColors val="0"/>
        <c:ser>
          <c:idx val="0"/>
          <c:order val="1"/>
          <c:tx>
            <c:strRef>
              <c:f>Sheet1!$A$3</c:f>
              <c:strCache>
                <c:ptCount val="1"/>
                <c:pt idx="0">
                  <c:v>增幅﹪</c:v>
                </c:pt>
              </c:strCache>
            </c:strRef>
          </c:tx>
          <c:spPr>
            <a:ln w="9516" cap="rnd" cmpd="sng" algn="ctr">
              <a:solidFill>
                <a:srgbClr val="FF000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33">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General</c:formatCode>
                <c:ptCount val="6"/>
                <c:pt idx="0">
                  <c:v>18.1</c:v>
                </c:pt>
                <c:pt idx="1">
                  <c:v>26.2</c:v>
                </c:pt>
                <c:pt idx="2">
                  <c:v>9.2</c:v>
                </c:pt>
                <c:pt idx="3">
                  <c:v>14.3</c:v>
                </c:pt>
                <c:pt idx="4">
                  <c:v>15.8</c:v>
                </c:pt>
                <c:pt idx="5">
                  <c:v>20.1</c:v>
                </c:pt>
              </c:numCache>
            </c:numRef>
          </c:val>
          <c:smooth val="0"/>
        </c:ser>
        <c:dLbls>
          <c:showLegendKey val="0"/>
          <c:showVal val="1"/>
          <c:showCatName val="0"/>
          <c:showSerName val="0"/>
          <c:showPercent val="0"/>
          <c:showBubbleSize val="0"/>
        </c:dLbls>
        <c:marker val="1"/>
        <c:smooth val="0"/>
        <c:axId val="43078400"/>
        <c:axId val="43079936"/>
      </c:lineChart>
      <c:catAx>
        <c:axId val="43061248"/>
        <c:scaling>
          <c:orientation val="minMax"/>
        </c:scaling>
        <c:delete val="0"/>
        <c:axPos val="b"/>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3063936"/>
        <c:crosses val="autoZero"/>
        <c:auto val="0"/>
        <c:lblAlgn val="ctr"/>
        <c:lblOffset val="100"/>
        <c:tickLblSkip val="1"/>
        <c:noMultiLvlLbl val="0"/>
      </c:catAx>
      <c:valAx>
        <c:axId val="4306393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9375"/>
              <c:y val="0.0522648083623693"/>
            </c:manualLayout>
          </c:layout>
          <c:overlay val="0"/>
          <c:spPr>
            <a:noFill/>
            <a:ln w="19033">
              <a:noFill/>
            </a:ln>
          </c:spPr>
        </c:title>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61248"/>
        <c:crosses val="autoZero"/>
        <c:crossBetween val="between"/>
      </c:valAx>
      <c:catAx>
        <c:axId val="4307840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79936"/>
        <c:crosses val="autoZero"/>
        <c:auto val="0"/>
        <c:lblAlgn val="ctr"/>
        <c:lblOffset val="100"/>
        <c:noMultiLvlLbl val="0"/>
      </c:catAx>
      <c:valAx>
        <c:axId val="43079936"/>
        <c:scaling>
          <c:orientation val="minMax"/>
        </c:scaling>
        <c:delete val="0"/>
        <c:axPos val="r"/>
        <c:title>
          <c:tx>
            <c:rich>
              <a:bodyPr rot="-12000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25480769230769"/>
              <c:y val="0.0452961672473868"/>
            </c:manualLayout>
          </c:layout>
          <c:overlay val="0"/>
          <c:spPr>
            <a:noFill/>
            <a:ln w="19033">
              <a:noFill/>
            </a:ln>
          </c:spPr>
        </c:title>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78400"/>
        <c:crosses val="max"/>
        <c:crossBetween val="between"/>
      </c:valAx>
    </c:plotArea>
    <c:legend>
      <c:legendPos val="r"/>
      <c:layout>
        <c:manualLayout>
          <c:xMode val="edge"/>
          <c:yMode val="edge"/>
          <c:x val="0.314903846153846"/>
          <c:y val="0"/>
          <c:w val="0.449519230769231"/>
          <c:h val="0.139372822299652"/>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4834123222749"/>
          <c:y val="0.189473684210526"/>
          <c:w val="0.701421800947867"/>
          <c:h val="0.715789473684211"/>
        </c:manualLayout>
      </c:layout>
      <c:barChart>
        <c:barDir val="col"/>
        <c:grouping val="clustered"/>
        <c:varyColors val="0"/>
        <c:ser>
          <c:idx val="1"/>
          <c:order val="0"/>
          <c:tx>
            <c:strRef>
              <c:f>Sheet1!$A$2</c:f>
              <c:strCache>
                <c:ptCount val="1"/>
                <c:pt idx="0">
                  <c:v>固定资产投资</c:v>
                </c:pt>
              </c:strCache>
            </c:strRef>
          </c:tx>
          <c:spPr>
            <a:solidFill>
              <a:srgbClr val="00B050"/>
            </a:solidFill>
          </c:spPr>
          <c:invertIfNegative val="0"/>
          <c:dLbls>
            <c:spPr>
              <a:noFill/>
              <a:ln w="1901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284638</c:v>
                </c:pt>
                <c:pt idx="1">
                  <c:v>329768</c:v>
                </c:pt>
                <c:pt idx="2">
                  <c:v>374204</c:v>
                </c:pt>
                <c:pt idx="3">
                  <c:v>189296</c:v>
                </c:pt>
                <c:pt idx="4">
                  <c:v>244988</c:v>
                </c:pt>
                <c:pt idx="5">
                  <c:v>332790</c:v>
                </c:pt>
              </c:numCache>
            </c:numRef>
          </c:val>
        </c:ser>
        <c:dLbls>
          <c:showLegendKey val="0"/>
          <c:showVal val="1"/>
          <c:showCatName val="0"/>
          <c:showSerName val="0"/>
          <c:showPercent val="0"/>
          <c:showBubbleSize val="0"/>
        </c:dLbls>
        <c:gapWidth val="150"/>
        <c:axId val="177397760"/>
        <c:axId val="177400448"/>
      </c:barChart>
      <c:lineChart>
        <c:grouping val="standard"/>
        <c:varyColors val="0"/>
        <c:ser>
          <c:idx val="0"/>
          <c:order val="1"/>
          <c:tx>
            <c:strRef>
              <c:f>Sheet1!$A$3</c:f>
              <c:strCache>
                <c:ptCount val="1"/>
                <c:pt idx="0">
                  <c:v>增幅﹪</c:v>
                </c:pt>
              </c:strCache>
            </c:strRef>
          </c:tx>
          <c:spPr>
            <a:ln w="9509" cap="rnd" cmpd="sng" algn="ctr">
              <a:solidFill>
                <a:srgbClr val="00206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1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General</c:formatCode>
                <c:ptCount val="6"/>
                <c:pt idx="0">
                  <c:v>16.2</c:v>
                </c:pt>
                <c:pt idx="1">
                  <c:v>15.9</c:v>
                </c:pt>
                <c:pt idx="2">
                  <c:v>13.5</c:v>
                </c:pt>
                <c:pt idx="3">
                  <c:v>-49.4</c:v>
                </c:pt>
                <c:pt idx="4">
                  <c:v>29.4</c:v>
                </c:pt>
                <c:pt idx="5">
                  <c:v>35.8</c:v>
                </c:pt>
              </c:numCache>
            </c:numRef>
          </c:val>
          <c:smooth val="0"/>
        </c:ser>
        <c:dLbls>
          <c:showLegendKey val="0"/>
          <c:showVal val="1"/>
          <c:showCatName val="0"/>
          <c:showSerName val="0"/>
          <c:showPercent val="0"/>
          <c:showBubbleSize val="0"/>
        </c:dLbls>
        <c:marker val="1"/>
        <c:smooth val="0"/>
        <c:axId val="177410816"/>
        <c:axId val="177412352"/>
      </c:lineChart>
      <c:catAx>
        <c:axId val="177397760"/>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00448"/>
        <c:crosses val="autoZero"/>
        <c:auto val="0"/>
        <c:lblAlgn val="ctr"/>
        <c:lblOffset val="100"/>
        <c:tickLblSkip val="1"/>
        <c:noMultiLvlLbl val="0"/>
      </c:catAx>
      <c:valAx>
        <c:axId val="177400448"/>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829383886255924"/>
              <c:y val="0.105263157894737"/>
            </c:manualLayout>
          </c:layout>
          <c:overlay val="0"/>
          <c:spPr>
            <a:noFill/>
            <a:ln w="19019">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397760"/>
        <c:crosses val="autoZero"/>
        <c:crossBetween val="between"/>
      </c:valAx>
      <c:catAx>
        <c:axId val="1774108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12352"/>
        <c:crosses val="autoZero"/>
        <c:auto val="0"/>
        <c:lblAlgn val="ctr"/>
        <c:lblOffset val="100"/>
        <c:noMultiLvlLbl val="0"/>
      </c:catAx>
      <c:valAx>
        <c:axId val="177412352"/>
        <c:scaling>
          <c:orientation val="minMax"/>
        </c:scaling>
        <c:delete val="0"/>
        <c:axPos val="r"/>
        <c:title>
          <c:tx>
            <c:rich>
              <a:bodyPr rot="-12000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09952606635071"/>
              <c:y val="0.0947368421052632"/>
            </c:manualLayout>
          </c:layout>
          <c:overlay val="0"/>
          <c:spPr>
            <a:noFill/>
            <a:ln w="19019">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10816"/>
        <c:crosses val="max"/>
        <c:crossBetween val="between"/>
      </c:valAx>
    </c:plotArea>
    <c:legend>
      <c:legendPos val="t"/>
      <c:layout>
        <c:manualLayout>
          <c:xMode val="edge"/>
          <c:yMode val="edge"/>
          <c:x val="0.293838862559242"/>
          <c:y val="0.0105263157894737"/>
          <c:w val="0.462085308056872"/>
          <c:h val="0.0912280701754386"/>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888888888889"/>
          <c:y val="0.122077922077922"/>
          <c:w val="0.772727272727273"/>
          <c:h val="0.781818181818182"/>
        </c:manualLayout>
      </c:layout>
      <c:barChart>
        <c:barDir val="col"/>
        <c:grouping val="clustered"/>
        <c:varyColors val="0"/>
        <c:ser>
          <c:idx val="1"/>
          <c:order val="0"/>
          <c:tx>
            <c:strRef>
              <c:f>Sheet1!$A$2</c:f>
              <c:strCache>
                <c:ptCount val="1"/>
                <c:pt idx="0">
                  <c:v>社会消费品零售额</c:v>
                </c:pt>
              </c:strCache>
            </c:strRef>
          </c:tx>
          <c:spPr>
            <a:solidFill>
              <a:srgbClr val="FFC000"/>
            </a:solidFill>
          </c:spPr>
          <c:invertIfNegative val="0"/>
          <c:dLbls>
            <c:spPr>
              <a:noFill/>
              <a:ln w="15162">
                <a:noFill/>
              </a:ln>
              <a:effectLst/>
            </c:spPr>
            <c:txPr>
              <a:bodyPr rot="0" spcFirstLastPara="0" vertOverflow="ellipsis" vert="horz" wrap="square" lIns="38100" tIns="19050" rIns="38100" bIns="19050" anchor="ctr" anchorCtr="1">
                <a:spAutoFit/>
              </a:bodyPr>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114520</c:v>
                </c:pt>
                <c:pt idx="1">
                  <c:v>124482.4</c:v>
                </c:pt>
                <c:pt idx="2">
                  <c:v>109440.8</c:v>
                </c:pt>
                <c:pt idx="3">
                  <c:v>128906</c:v>
                </c:pt>
                <c:pt idx="4">
                  <c:v>130064.2</c:v>
                </c:pt>
                <c:pt idx="5">
                  <c:v>132730.6</c:v>
                </c:pt>
              </c:numCache>
            </c:numRef>
          </c:val>
        </c:ser>
        <c:dLbls>
          <c:showLegendKey val="0"/>
          <c:showVal val="1"/>
          <c:showCatName val="0"/>
          <c:showSerName val="0"/>
          <c:showPercent val="0"/>
          <c:showBubbleSize val="0"/>
        </c:dLbls>
        <c:gapWidth val="150"/>
        <c:axId val="177444352"/>
        <c:axId val="177445888"/>
      </c:barChart>
      <c:lineChart>
        <c:grouping val="standard"/>
        <c:varyColors val="0"/>
        <c:ser>
          <c:idx val="0"/>
          <c:order val="1"/>
          <c:tx>
            <c:strRef>
              <c:f>Sheet1!$A$3</c:f>
              <c:strCache>
                <c:ptCount val="1"/>
                <c:pt idx="0">
                  <c:v>增幅%</c:v>
                </c:pt>
              </c:strCache>
            </c:strRef>
          </c:tx>
          <c:spPr>
            <a:ln w="7581" cap="rnd" cmpd="sng" algn="ctr">
              <a:solidFill>
                <a:srgbClr val="000080"/>
              </a:solidFill>
              <a:prstDash val="solid"/>
              <a:round/>
            </a:ln>
          </c:spPr>
          <c:marker>
            <c:symbol val="diamond"/>
            <c:size val="2"/>
            <c:spPr>
              <a:solidFill>
                <a:srgbClr val="000080"/>
              </a:solidFill>
              <a:ln w="6350" cap="flat" cmpd="sng" algn="ctr">
                <a:solidFill>
                  <a:srgbClr val="000080"/>
                </a:solidFill>
                <a:prstDash val="solid"/>
                <a:round/>
              </a:ln>
            </c:spPr>
          </c:marker>
          <c:dLbls>
            <c:dLbl>
              <c:idx val="1"/>
              <c:layout/>
              <c:numFmt formatCode="General" sourceLinked="1"/>
              <c:spPr>
                <a:noFill/>
                <a:ln w="15162">
                  <a:noFill/>
                </a:ln>
                <a:effectLst/>
              </c:spPr>
              <c:txPr>
                <a:bodyPr rot="0" spcFirstLastPara="0" vertOverflow="ellipsis" vert="horz" wrap="square" lIns="38100" tIns="19050" rIns="38100" bIns="19050"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extLst>
                <c:ext xmlns:c15="http://schemas.microsoft.com/office/drawing/2012/chart" uri="{CE6537A1-D6FC-4f65-9D91-7224C49458BB}"/>
              </c:extLst>
            </c:dLbl>
            <c:spPr>
              <a:noFill/>
              <a:ln w="15162">
                <a:noFill/>
              </a:ln>
              <a:effectLst/>
            </c:spPr>
            <c:txPr>
              <a:bodyPr rot="0" spcFirstLastPara="0" vertOverflow="ellipsis" vert="horz" wrap="square" lIns="38100" tIns="19050" rIns="38100" bIns="19050" anchor="ctr" anchorCtr="1">
                <a:spAutoFit/>
              </a:bodyPr>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General</c:formatCode>
                <c:ptCount val="6"/>
                <c:pt idx="0">
                  <c:v>7.6</c:v>
                </c:pt>
                <c:pt idx="1">
                  <c:v>8.7</c:v>
                </c:pt>
                <c:pt idx="2">
                  <c:v>-3.5</c:v>
                </c:pt>
                <c:pt idx="3">
                  <c:v>17.8</c:v>
                </c:pt>
                <c:pt idx="4">
                  <c:v>0.9</c:v>
                </c:pt>
                <c:pt idx="5">
                  <c:v>2.1</c:v>
                </c:pt>
              </c:numCache>
            </c:numRef>
          </c:val>
          <c:smooth val="0"/>
        </c:ser>
        <c:dLbls>
          <c:showLegendKey val="0"/>
          <c:showVal val="1"/>
          <c:showCatName val="0"/>
          <c:showSerName val="0"/>
          <c:showPercent val="0"/>
          <c:showBubbleSize val="0"/>
        </c:dLbls>
        <c:marker val="1"/>
        <c:smooth val="0"/>
        <c:axId val="177452160"/>
        <c:axId val="177453696"/>
      </c:lineChart>
      <c:catAx>
        <c:axId val="177444352"/>
        <c:scaling>
          <c:orientation val="minMax"/>
        </c:scaling>
        <c:delete val="0"/>
        <c:axPos val="b"/>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77445888"/>
        <c:crosses val="autoZero"/>
        <c:auto val="0"/>
        <c:lblAlgn val="ctr"/>
        <c:lblOffset val="100"/>
        <c:tickLblSkip val="1"/>
        <c:noMultiLvlLbl val="0"/>
      </c:catAx>
      <c:valAx>
        <c:axId val="177445888"/>
        <c:scaling>
          <c:orientation val="minMax"/>
        </c:scaling>
        <c:delete val="0"/>
        <c:axPos val="l"/>
        <c:title>
          <c:tx>
            <c:rich>
              <a:bodyPr rot="60000" spcFirstLastPara="0" vertOverflow="ellipsis" vert="horz" wrap="square" anchor="ctr" anchorCtr="1"/>
              <a:lstStyle/>
              <a:p>
                <a:pPr algn="ct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101010101010101"/>
              <c:y val="0.0337662337662338"/>
            </c:manualLayout>
          </c:layout>
          <c:overlay val="0"/>
          <c:spPr>
            <a:noFill/>
            <a:ln w="15162">
              <a:noFill/>
            </a:ln>
          </c:spPr>
        </c:title>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44352"/>
        <c:crosses val="autoZero"/>
        <c:crossBetween val="between"/>
      </c:valAx>
      <c:catAx>
        <c:axId val="1774521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53696"/>
        <c:crosses val="autoZero"/>
        <c:auto val="0"/>
        <c:lblAlgn val="ctr"/>
        <c:lblOffset val="100"/>
        <c:noMultiLvlLbl val="0"/>
      </c:catAx>
      <c:valAx>
        <c:axId val="177453696"/>
        <c:scaling>
          <c:orientation val="minMax"/>
        </c:scaling>
        <c:delete val="0"/>
        <c:axPos val="r"/>
        <c:title>
          <c:tx>
            <c:rich>
              <a:bodyPr rot="0" spcFirstLastPara="0" vertOverflow="ellipsis" vert="horz" wrap="square" anchor="ctr" anchorCtr="1"/>
              <a:lstStyle/>
              <a:p>
                <a:pPr algn="ct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46969696969697"/>
              <c:y val="0.0363636363636364"/>
            </c:manualLayout>
          </c:layout>
          <c:overlay val="0"/>
          <c:spPr>
            <a:noFill/>
            <a:ln w="15162">
              <a:noFill/>
            </a:ln>
          </c:spPr>
        </c:title>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52160"/>
        <c:crosses val="max"/>
        <c:crossBetween val="between"/>
      </c:valAx>
    </c:plotArea>
    <c:legend>
      <c:legendPos val="t"/>
      <c:layout>
        <c:manualLayout>
          <c:xMode val="edge"/>
          <c:yMode val="edge"/>
          <c:x val="0.265151515151515"/>
          <c:y val="0.00779220779220779"/>
          <c:w val="0.54040404040404"/>
          <c:h val="0.0545454545454545"/>
        </c:manualLayout>
      </c:layout>
      <c:overlay val="0"/>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595"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518987341772"/>
          <c:y val="0.237388724035608"/>
          <c:w val="0.80506329113924"/>
          <c:h val="0.584569732937685"/>
        </c:manualLayout>
      </c:layout>
      <c:barChart>
        <c:barDir val="col"/>
        <c:grouping val="clustered"/>
        <c:varyColors val="0"/>
        <c:ser>
          <c:idx val="1"/>
          <c:order val="0"/>
          <c:tx>
            <c:strRef>
              <c:f>Sheet1!$A$2</c:f>
              <c:strCache>
                <c:ptCount val="1"/>
                <c:pt idx="0">
                  <c:v>财政总收入</c:v>
                </c:pt>
              </c:strCache>
            </c:strRef>
          </c:tx>
          <c:invertIfNegative val="0"/>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31743</c:v>
                </c:pt>
                <c:pt idx="1">
                  <c:v>53387</c:v>
                </c:pt>
                <c:pt idx="2">
                  <c:v>58679.6</c:v>
                </c:pt>
                <c:pt idx="3">
                  <c:v>54736</c:v>
                </c:pt>
                <c:pt idx="4">
                  <c:v>28343</c:v>
                </c:pt>
                <c:pt idx="5">
                  <c:v>40718.3</c:v>
                </c:pt>
              </c:numCache>
            </c:numRef>
          </c:val>
        </c:ser>
        <c:ser>
          <c:idx val="2"/>
          <c:order val="2"/>
          <c:tx>
            <c:strRef>
              <c:f>Sheet1!$A$4</c:f>
              <c:strCache>
                <c:ptCount val="1"/>
                <c:pt idx="0">
                  <c:v>公共财政收入</c:v>
                </c:pt>
              </c:strCache>
            </c:strRef>
          </c:tx>
          <c:invertIfNegative val="0"/>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Sheet1!$B$4:$G$4</c:f>
              <c:numCache>
                <c:formatCode>General</c:formatCode>
                <c:ptCount val="6"/>
                <c:pt idx="0">
                  <c:v>14900</c:v>
                </c:pt>
                <c:pt idx="1">
                  <c:v>25284.3</c:v>
                </c:pt>
                <c:pt idx="2">
                  <c:v>26737</c:v>
                </c:pt>
                <c:pt idx="3">
                  <c:v>31621</c:v>
                </c:pt>
                <c:pt idx="4">
                  <c:v>17737</c:v>
                </c:pt>
                <c:pt idx="5">
                  <c:v>19715.4</c:v>
                </c:pt>
              </c:numCache>
            </c:numRef>
          </c:val>
        </c:ser>
        <c:dLbls>
          <c:showLegendKey val="0"/>
          <c:showVal val="1"/>
          <c:showCatName val="0"/>
          <c:showSerName val="0"/>
          <c:showPercent val="0"/>
          <c:showBubbleSize val="0"/>
        </c:dLbls>
        <c:gapWidth val="150"/>
        <c:axId val="177520640"/>
        <c:axId val="177522176"/>
      </c:barChart>
      <c:lineChart>
        <c:grouping val="standard"/>
        <c:varyColors val="0"/>
        <c:ser>
          <c:idx val="0"/>
          <c:order val="1"/>
          <c:tx>
            <c:strRef>
              <c:f>Sheet1!$A$3</c:f>
              <c:strCache>
                <c:ptCount val="1"/>
                <c:pt idx="0">
                  <c:v>增幅%</c:v>
                </c:pt>
              </c:strCache>
            </c:strRef>
          </c:tx>
          <c:spPr>
            <a:ln w="9508" cap="rnd" cmpd="sng" algn="ctr">
              <a:solidFill>
                <a:srgbClr val="00008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General</c:formatCode>
                <c:ptCount val="6"/>
                <c:pt idx="0">
                  <c:v>45.02</c:v>
                </c:pt>
                <c:pt idx="1">
                  <c:v>68.19</c:v>
                </c:pt>
                <c:pt idx="2">
                  <c:v>9.91</c:v>
                </c:pt>
                <c:pt idx="3">
                  <c:v>-6.72</c:v>
                </c:pt>
                <c:pt idx="4">
                  <c:v>-48.22</c:v>
                </c:pt>
                <c:pt idx="5">
                  <c:v>43.66</c:v>
                </c:pt>
              </c:numCache>
            </c:numRef>
          </c:val>
          <c:smooth val="0"/>
        </c:ser>
        <c:ser>
          <c:idx val="3"/>
          <c:order val="3"/>
          <c:tx>
            <c:strRef>
              <c:f>Sheet1!$A$5</c:f>
              <c:strCache>
                <c:ptCount val="1"/>
                <c:pt idx="0">
                  <c:v>增幅%</c:v>
                </c:pt>
              </c:strCache>
            </c:strRef>
          </c:tx>
          <c:spPr>
            <a:ln w="9508" cap="rnd" cmpd="sng" algn="ctr">
              <a:solidFill>
                <a:srgbClr val="00FFFF"/>
              </a:solidFill>
              <a:prstDash val="solid"/>
              <a:round/>
            </a:ln>
          </c:spPr>
          <c:marker>
            <c:symbol val="x"/>
            <c:size val="3"/>
            <c:spPr>
              <a:noFill/>
              <a:ln w="6350" cap="flat" cmpd="sng" algn="ctr">
                <a:solidFill>
                  <a:srgbClr val="00FFFF"/>
                </a:solidFill>
                <a:prstDash val="solid"/>
                <a:round/>
              </a:ln>
            </c:spPr>
          </c:marker>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Sheet1!$B$5:$G$5</c:f>
              <c:numCache>
                <c:formatCode>General</c:formatCode>
                <c:ptCount val="6"/>
                <c:pt idx="0">
                  <c:v>42.51</c:v>
                </c:pt>
                <c:pt idx="1">
                  <c:v>69.69</c:v>
                </c:pt>
                <c:pt idx="2">
                  <c:v>5.75</c:v>
                </c:pt>
                <c:pt idx="3">
                  <c:v>18.27</c:v>
                </c:pt>
                <c:pt idx="4">
                  <c:v>-43.91</c:v>
                </c:pt>
                <c:pt idx="5">
                  <c:v>11.15</c:v>
                </c:pt>
              </c:numCache>
            </c:numRef>
          </c:val>
          <c:smooth val="0"/>
        </c:ser>
        <c:dLbls>
          <c:showLegendKey val="0"/>
          <c:showVal val="1"/>
          <c:showCatName val="0"/>
          <c:showSerName val="0"/>
          <c:showPercent val="0"/>
          <c:showBubbleSize val="0"/>
        </c:dLbls>
        <c:marker val="1"/>
        <c:smooth val="0"/>
        <c:axId val="177524096"/>
        <c:axId val="179811456"/>
      </c:lineChart>
      <c:catAx>
        <c:axId val="177520640"/>
        <c:scaling>
          <c:orientation val="minMax"/>
        </c:scaling>
        <c:delete val="0"/>
        <c:axPos val="b"/>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77522176"/>
        <c:crosses val="autoZero"/>
        <c:auto val="0"/>
        <c:lblAlgn val="ctr"/>
        <c:lblOffset val="100"/>
        <c:tickLblSkip val="1"/>
        <c:noMultiLvlLbl val="0"/>
      </c:catAx>
      <c:valAx>
        <c:axId val="17752217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253164556962025"/>
              <c:y val="0.1513353115727"/>
            </c:manualLayout>
          </c:layout>
          <c:overlay val="0"/>
          <c:spPr>
            <a:noFill/>
            <a:ln w="19017">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520640"/>
        <c:crosses val="autoZero"/>
        <c:crossBetween val="between"/>
      </c:valAx>
      <c:catAx>
        <c:axId val="17752409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9811456"/>
        <c:crosses val="autoZero"/>
        <c:auto val="0"/>
        <c:lblAlgn val="ctr"/>
        <c:lblOffset val="100"/>
        <c:noMultiLvlLbl val="0"/>
      </c:catAx>
      <c:valAx>
        <c:axId val="179811456"/>
        <c:scaling>
          <c:orientation val="minMax"/>
        </c:scaling>
        <c:delete val="0"/>
        <c:axPos val="r"/>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59493670886076"/>
              <c:y val="0.15727002967359"/>
            </c:manualLayout>
          </c:layout>
          <c:overlay val="0"/>
          <c:spPr>
            <a:noFill/>
            <a:ln w="19017">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524096"/>
        <c:crosses val="max"/>
        <c:crossBetween val="between"/>
      </c:valAx>
    </c:plotArea>
    <c:legend>
      <c:legendPos val="t"/>
      <c:layout>
        <c:manualLayout>
          <c:xMode val="edge"/>
          <c:yMode val="edge"/>
          <c:x val="0.0506329113924051"/>
          <c:y val="0.0474777448071217"/>
          <c:w val="0.906329113924051"/>
          <c:h val="0.0623145400593472"/>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555555555556"/>
          <c:y val="0.0712848010563097"/>
          <c:w val="0.825111111111111"/>
          <c:h val="0.640381624076132"/>
        </c:manualLayout>
      </c:layout>
      <c:barChart>
        <c:barDir val="col"/>
        <c:grouping val="clustered"/>
        <c:varyColors val="0"/>
        <c:ser>
          <c:idx val="0"/>
          <c:order val="0"/>
          <c:tx>
            <c:strRef>
              <c:f>'[工作表 在 E  Personal Desktop 2023年广灵县国民经济和社会发展 (20240229定稿)广灵县2023年国民经济和社会发展统计公报.docx]Sheet1'!$A$2</c:f>
              <c:strCache>
                <c:ptCount val="1"/>
                <c:pt idx="0">
                  <c:v>各项存款余额</c:v>
                </c:pt>
              </c:strCache>
            </c:strRef>
          </c:tx>
          <c:spPr>
            <a:solidFill>
              <a:srgbClr val="5B9BD5"/>
            </a:solidFill>
            <a:ln w="25400">
              <a:noFill/>
            </a:ln>
          </c:spPr>
          <c:invertIfNegative val="0"/>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2023年广灵县国民经济和社会发展 (20240229定稿)广灵县2023年国民经济和社会发展统计公报.docx]Sheet1'!$B$1:$G$1</c:f>
              <c:strCache>
                <c:ptCount val="6"/>
                <c:pt idx="0">
                  <c:v>2018年</c:v>
                </c:pt>
                <c:pt idx="1">
                  <c:v>2019年</c:v>
                </c:pt>
                <c:pt idx="2">
                  <c:v>2020年</c:v>
                </c:pt>
                <c:pt idx="3">
                  <c:v>2021年</c:v>
                </c:pt>
                <c:pt idx="4">
                  <c:v>2022年</c:v>
                </c:pt>
                <c:pt idx="5">
                  <c:v>2023年</c:v>
                </c:pt>
              </c:strCache>
            </c:strRef>
          </c:cat>
          <c:val>
            <c:numRef>
              <c:f>'[工作表 在 E  Personal Desktop 2023年广灵县国民经济和社会发展 (20240229定稿)广灵县2023年国民经济和社会发展统计公报.docx]Sheet1'!$B$2:$G$2</c:f>
              <c:numCache>
                <c:formatCode>General</c:formatCode>
                <c:ptCount val="6"/>
                <c:pt idx="0">
                  <c:v>725225</c:v>
                </c:pt>
                <c:pt idx="1">
                  <c:v>831315</c:v>
                </c:pt>
                <c:pt idx="2">
                  <c:v>908769</c:v>
                </c:pt>
                <c:pt idx="3">
                  <c:v>969067</c:v>
                </c:pt>
                <c:pt idx="4">
                  <c:v>1075102</c:v>
                </c:pt>
                <c:pt idx="5">
                  <c:v>1229667</c:v>
                </c:pt>
              </c:numCache>
            </c:numRef>
          </c:val>
        </c:ser>
        <c:ser>
          <c:idx val="2"/>
          <c:order val="2"/>
          <c:tx>
            <c:strRef>
              <c:f>'[工作表 在 E  Personal Desktop 2023年广灵县国民经济和社会发展 (20240229定稿)广灵县2023年国民经济和社会发展统计公报.docx]Sheet1'!$A$4</c:f>
              <c:strCache>
                <c:ptCount val="1"/>
                <c:pt idx="0">
                  <c:v>各项贷款余额</c:v>
                </c:pt>
              </c:strCache>
            </c:strRef>
          </c:tx>
          <c:spPr>
            <a:solidFill>
              <a:srgbClr val="A5A5A5"/>
            </a:solidFill>
            <a:ln w="25400">
              <a:noFill/>
            </a:ln>
          </c:spPr>
          <c:invertIfNegative val="0"/>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2023年广灵县国民经济和社会发展 (20240229定稿)广灵县2023年国民经济和社会发展统计公报.docx]Sheet1'!$B$1:$G$1</c:f>
              <c:strCache>
                <c:ptCount val="6"/>
                <c:pt idx="0">
                  <c:v>2018年</c:v>
                </c:pt>
                <c:pt idx="1">
                  <c:v>2019年</c:v>
                </c:pt>
                <c:pt idx="2">
                  <c:v>2020年</c:v>
                </c:pt>
                <c:pt idx="3">
                  <c:v>2021年</c:v>
                </c:pt>
                <c:pt idx="4">
                  <c:v>2022年</c:v>
                </c:pt>
                <c:pt idx="5">
                  <c:v>2023年</c:v>
                </c:pt>
              </c:strCache>
            </c:strRef>
          </c:cat>
          <c:val>
            <c:numRef>
              <c:f>'[工作表 在 E  Personal Desktop 2023年广灵县国民经济和社会发展 (20240229定稿)广灵县2023年国民经济和社会发展统计公报.docx]Sheet1'!$B$4:$G$4</c:f>
              <c:numCache>
                <c:formatCode>General</c:formatCode>
                <c:ptCount val="6"/>
                <c:pt idx="0">
                  <c:v>258206</c:v>
                </c:pt>
                <c:pt idx="1">
                  <c:v>314832</c:v>
                </c:pt>
                <c:pt idx="2">
                  <c:v>287835</c:v>
                </c:pt>
                <c:pt idx="3">
                  <c:v>331850</c:v>
                </c:pt>
                <c:pt idx="4">
                  <c:v>443702</c:v>
                </c:pt>
                <c:pt idx="5">
                  <c:v>517202</c:v>
                </c:pt>
              </c:numCache>
            </c:numRef>
          </c:val>
        </c:ser>
        <c:ser>
          <c:idx val="4"/>
          <c:order val="4"/>
          <c:tx>
            <c:strRef>
              <c:f>'[工作表 在 E  Personal Desktop 2023年广灵县国民经济和社会发展 (20240229定稿)广灵县2023年国民经济和社会发展统计公报.docx]Sheet1'!$A$6</c:f>
              <c:strCache>
                <c:ptCount val="1"/>
                <c:pt idx="0">
                  <c:v>居民储蓄存款余额</c:v>
                </c:pt>
              </c:strCache>
            </c:strRef>
          </c:tx>
          <c:spPr>
            <a:solidFill>
              <a:srgbClr val="4472C4"/>
            </a:solidFill>
            <a:ln w="25400">
              <a:noFill/>
            </a:ln>
          </c:spPr>
          <c:invertIfNegative val="0"/>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2023年广灵县国民经济和社会发展 (20240229定稿)广灵县2023年国民经济和社会发展统计公报.docx]Sheet1'!$B$1:$G$1</c:f>
              <c:strCache>
                <c:ptCount val="6"/>
                <c:pt idx="0">
                  <c:v>2018年</c:v>
                </c:pt>
                <c:pt idx="1">
                  <c:v>2019年</c:v>
                </c:pt>
                <c:pt idx="2">
                  <c:v>2020年</c:v>
                </c:pt>
                <c:pt idx="3">
                  <c:v>2021年</c:v>
                </c:pt>
                <c:pt idx="4">
                  <c:v>2022年</c:v>
                </c:pt>
                <c:pt idx="5">
                  <c:v>2023年</c:v>
                </c:pt>
              </c:strCache>
            </c:strRef>
          </c:cat>
          <c:val>
            <c:numRef>
              <c:f>'[工作表 在 E  Personal Desktop 2023年广灵县国民经济和社会发展 (20240229定稿)广灵县2023年国民经济和社会发展统计公报.docx]Sheet1'!$B$6:$G$6</c:f>
              <c:numCache>
                <c:formatCode>General</c:formatCode>
                <c:ptCount val="6"/>
                <c:pt idx="0">
                  <c:v>563857</c:v>
                </c:pt>
                <c:pt idx="1">
                  <c:v>645934</c:v>
                </c:pt>
                <c:pt idx="2">
                  <c:v>743908</c:v>
                </c:pt>
                <c:pt idx="3">
                  <c:v>813665</c:v>
                </c:pt>
                <c:pt idx="4">
                  <c:v>916996</c:v>
                </c:pt>
                <c:pt idx="5">
                  <c:v>1045342</c:v>
                </c:pt>
              </c:numCache>
            </c:numRef>
          </c:val>
        </c:ser>
        <c:dLbls>
          <c:showLegendKey val="0"/>
          <c:showVal val="0"/>
          <c:showCatName val="0"/>
          <c:showSerName val="0"/>
          <c:showPercent val="0"/>
          <c:showBubbleSize val="0"/>
        </c:dLbls>
        <c:gapWidth val="219"/>
        <c:overlap val="-27"/>
        <c:axId val="2001844960"/>
        <c:axId val="1"/>
      </c:barChart>
      <c:lineChart>
        <c:grouping val="standard"/>
        <c:varyColors val="0"/>
        <c:ser>
          <c:idx val="1"/>
          <c:order val="1"/>
          <c:tx>
            <c:strRef>
              <c:f>'[工作表 在 E  Personal Desktop 2023年广灵县国民经济和社会发展 (20240229定稿)广灵县2023年国民经济和社会发展统计公报.docx]Sheet1'!$A$3</c:f>
              <c:strCache>
                <c:ptCount val="1"/>
                <c:pt idx="0">
                  <c:v>增幅%</c:v>
                </c:pt>
              </c:strCache>
            </c:strRef>
          </c:tx>
          <c:spPr>
            <a:ln w="28575" cap="rnd" cmpd="sng" algn="ctr">
              <a:solidFill>
                <a:schemeClr val="accent2"/>
              </a:solidFill>
              <a:prstDash val="solid"/>
              <a:round/>
            </a:ln>
            <a:effectLst/>
          </c:spPr>
          <c:marker>
            <c:symbol val="circle"/>
            <c:size val="5"/>
            <c:spPr>
              <a:solidFill>
                <a:schemeClr val="accent2"/>
              </a:solidFill>
              <a:ln w="9525" cap="flat" cmpd="sng" algn="ctr">
                <a:solidFill>
                  <a:schemeClr val="accent2"/>
                </a:solidFill>
                <a:prstDash val="solid"/>
                <a:round/>
              </a:ln>
              <a:effectLst/>
            </c:spPr>
          </c:marker>
          <c:dLbls>
            <c:delete val="1"/>
          </c:dLbls>
          <c:cat>
            <c:strRef>
              <c:f>'[工作表 在 E  Personal Desktop 2023年广灵县国民经济和社会发展 (20240229定稿)广灵县2023年国民经济和社会发展统计公报.docx]Sheet1'!$B$1:$G$1</c:f>
              <c:strCache>
                <c:ptCount val="6"/>
                <c:pt idx="0">
                  <c:v>2018年</c:v>
                </c:pt>
                <c:pt idx="1">
                  <c:v>2019年</c:v>
                </c:pt>
                <c:pt idx="2">
                  <c:v>2020年</c:v>
                </c:pt>
                <c:pt idx="3">
                  <c:v>2021年</c:v>
                </c:pt>
                <c:pt idx="4">
                  <c:v>2022年</c:v>
                </c:pt>
                <c:pt idx="5">
                  <c:v>2023年</c:v>
                </c:pt>
              </c:strCache>
            </c:strRef>
          </c:cat>
          <c:val>
            <c:numRef>
              <c:f>'[工作表 在 E  Personal Desktop 2023年广灵县国民经济和社会发展 (20240229定稿)广灵县2023年国民经济和社会发展统计公报.docx]Sheet1'!$B$3:$G$3</c:f>
              <c:numCache>
                <c:formatCode>General</c:formatCode>
                <c:ptCount val="6"/>
                <c:pt idx="0">
                  <c:v>12</c:v>
                </c:pt>
                <c:pt idx="1">
                  <c:v>14.63</c:v>
                </c:pt>
                <c:pt idx="2">
                  <c:v>9.32</c:v>
                </c:pt>
                <c:pt idx="3">
                  <c:v>6.64</c:v>
                </c:pt>
                <c:pt idx="4">
                  <c:v>10.94</c:v>
                </c:pt>
                <c:pt idx="5">
                  <c:v>14.38</c:v>
                </c:pt>
              </c:numCache>
            </c:numRef>
          </c:val>
          <c:smooth val="0"/>
        </c:ser>
        <c:ser>
          <c:idx val="3"/>
          <c:order val="3"/>
          <c:tx>
            <c:strRef>
              <c:f>'[工作表 在 E  Personal Desktop 2023年广灵县国民经济和社会发展 (20240229定稿)广灵县2023年国民经济和社会发展统计公报.docx]Sheet1'!$A$5</c:f>
              <c:strCache>
                <c:ptCount val="1"/>
                <c:pt idx="0">
                  <c:v>增幅%</c:v>
                </c:pt>
              </c:strCache>
            </c:strRef>
          </c:tx>
          <c:spPr>
            <a:ln w="28575" cap="rnd" cmpd="sng" algn="ctr">
              <a:solidFill>
                <a:schemeClr val="accent4"/>
              </a:solidFill>
              <a:prstDash val="solid"/>
              <a:round/>
            </a:ln>
            <a:effectLst/>
          </c:spPr>
          <c:marker>
            <c:symbol val="circle"/>
            <c:size val="5"/>
            <c:spPr>
              <a:solidFill>
                <a:schemeClr val="accent4"/>
              </a:solidFill>
              <a:ln w="9525" cap="flat" cmpd="sng" algn="ctr">
                <a:solidFill>
                  <a:schemeClr val="accent4"/>
                </a:solidFill>
                <a:prstDash val="solid"/>
                <a:round/>
              </a:ln>
              <a:effectLst/>
            </c:spPr>
          </c:marker>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2023年广灵县国民经济和社会发展 (20240229定稿)广灵县2023年国民经济和社会发展统计公报.docx]Sheet1'!$B$1:$G$1</c:f>
              <c:strCache>
                <c:ptCount val="6"/>
                <c:pt idx="0">
                  <c:v>2018年</c:v>
                </c:pt>
                <c:pt idx="1">
                  <c:v>2019年</c:v>
                </c:pt>
                <c:pt idx="2">
                  <c:v>2020年</c:v>
                </c:pt>
                <c:pt idx="3">
                  <c:v>2021年</c:v>
                </c:pt>
                <c:pt idx="4">
                  <c:v>2022年</c:v>
                </c:pt>
                <c:pt idx="5">
                  <c:v>2023年</c:v>
                </c:pt>
              </c:strCache>
            </c:strRef>
          </c:cat>
          <c:val>
            <c:numRef>
              <c:f>'[工作表 在 E  Personal Desktop 2023年广灵县国民经济和社会发展 (20240229定稿)广灵县2023年国民经济和社会发展统计公报.docx]Sheet1'!$B$5:$G$5</c:f>
              <c:numCache>
                <c:formatCode>General</c:formatCode>
                <c:ptCount val="6"/>
                <c:pt idx="0">
                  <c:v>18.8</c:v>
                </c:pt>
                <c:pt idx="1">
                  <c:v>21.93</c:v>
                </c:pt>
                <c:pt idx="2">
                  <c:v>-8.58</c:v>
                </c:pt>
                <c:pt idx="3">
                  <c:v>15.29</c:v>
                </c:pt>
                <c:pt idx="4">
                  <c:v>33.71</c:v>
                </c:pt>
                <c:pt idx="5">
                  <c:v>16.57</c:v>
                </c:pt>
              </c:numCache>
            </c:numRef>
          </c:val>
          <c:smooth val="0"/>
        </c:ser>
        <c:ser>
          <c:idx val="5"/>
          <c:order val="5"/>
          <c:tx>
            <c:strRef>
              <c:f>'[工作表 在 E  Personal Desktop 2023年广灵县国民经济和社会发展 (20240229定稿)广灵县2023年国民经济和社会发展统计公报.docx]Sheet1'!$A$7</c:f>
              <c:strCache>
                <c:ptCount val="1"/>
                <c:pt idx="0">
                  <c:v>增幅%</c:v>
                </c:pt>
              </c:strCache>
            </c:strRef>
          </c:tx>
          <c:spPr>
            <a:ln w="28575" cap="rnd" cmpd="sng" algn="ctr">
              <a:solidFill>
                <a:schemeClr val="accent6"/>
              </a:solidFill>
              <a:prstDash val="solid"/>
              <a:round/>
            </a:ln>
            <a:effectLst/>
          </c:spPr>
          <c:marker>
            <c:symbol val="circle"/>
            <c:size val="5"/>
            <c:spPr>
              <a:solidFill>
                <a:schemeClr val="accent6"/>
              </a:solidFill>
              <a:ln w="9525" cap="flat" cmpd="sng" algn="ctr">
                <a:solidFill>
                  <a:schemeClr val="accent6"/>
                </a:solidFill>
                <a:prstDash val="solid"/>
                <a:round/>
              </a:ln>
              <a:effectLst/>
            </c:spPr>
          </c:marker>
          <c:dLbls>
            <c:delete val="1"/>
          </c:dLbls>
          <c:cat>
            <c:strRef>
              <c:f>'[工作表 在 E  Personal Desktop 2023年广灵县国民经济和社会发展 (20240229定稿)广灵县2023年国民经济和社会发展统计公报.docx]Sheet1'!$B$1:$G$1</c:f>
              <c:strCache>
                <c:ptCount val="6"/>
                <c:pt idx="0">
                  <c:v>2018年</c:v>
                </c:pt>
                <c:pt idx="1">
                  <c:v>2019年</c:v>
                </c:pt>
                <c:pt idx="2">
                  <c:v>2020年</c:v>
                </c:pt>
                <c:pt idx="3">
                  <c:v>2021年</c:v>
                </c:pt>
                <c:pt idx="4">
                  <c:v>2022年</c:v>
                </c:pt>
                <c:pt idx="5">
                  <c:v>2023年</c:v>
                </c:pt>
              </c:strCache>
            </c:strRef>
          </c:cat>
          <c:val>
            <c:numRef>
              <c:f>'[工作表 在 E  Personal Desktop 2023年广灵县国民经济和社会发展 (20240229定稿)广灵县2023年国民经济和社会发展统计公报.docx]Sheet1'!$B$7:$G$7</c:f>
              <c:numCache>
                <c:formatCode>General</c:formatCode>
                <c:ptCount val="6"/>
                <c:pt idx="0">
                  <c:v>11.7</c:v>
                </c:pt>
                <c:pt idx="1">
                  <c:v>14.56</c:v>
                </c:pt>
                <c:pt idx="2">
                  <c:v>15.17</c:v>
                </c:pt>
                <c:pt idx="3">
                  <c:v>9.38</c:v>
                </c:pt>
                <c:pt idx="4">
                  <c:v>12.69</c:v>
                </c:pt>
                <c:pt idx="5">
                  <c:v>14</c:v>
                </c:pt>
              </c:numCache>
            </c:numRef>
          </c:val>
          <c:smooth val="0"/>
        </c:ser>
        <c:dLbls>
          <c:showLegendKey val="0"/>
          <c:showVal val="0"/>
          <c:showCatName val="0"/>
          <c:showSerName val="0"/>
          <c:showPercent val="0"/>
          <c:showBubbleSize val="0"/>
        </c:dLbls>
        <c:marker val="1"/>
        <c:smooth val="0"/>
        <c:axId val="3"/>
        <c:axId val="4"/>
      </c:lineChart>
      <c:catAx>
        <c:axId val="2001844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270000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crossAx val="1"/>
        <c:crosses val="autoZero"/>
        <c:auto val="1"/>
        <c:lblAlgn val="ctr"/>
        <c:lblOffset val="100"/>
        <c:noMultiLvlLbl val="0"/>
      </c:catAx>
      <c:valAx>
        <c:axId val="1"/>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6350" cap="flat" cmpd="sng" algn="ctr">
            <a:noFill/>
            <a:prstDash val="solid"/>
            <a:round/>
          </a:ln>
        </c:spPr>
        <c:txPr>
          <a:bodyPr rot="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crossAx val="2001844960"/>
        <c:crosses val="autoZero"/>
        <c:crossBetween val="between"/>
      </c:valAx>
      <c:catAx>
        <c:axId val="3"/>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
        <c:crosses val="autoZero"/>
        <c:auto val="1"/>
        <c:lblAlgn val="ctr"/>
        <c:lblOffset val="100"/>
        <c:noMultiLvlLbl val="0"/>
      </c:catAx>
      <c:valAx>
        <c:axId val="4"/>
        <c:scaling>
          <c:orientation val="minMax"/>
        </c:scaling>
        <c:delete val="0"/>
        <c:axPos val="r"/>
        <c:numFmt formatCode="General" sourceLinked="1"/>
        <c:majorTickMark val="out"/>
        <c:minorTickMark val="none"/>
        <c:tickLblPos val="nextTo"/>
        <c:spPr>
          <a:ln w="6350" cap="flat" cmpd="sng" algn="ctr">
            <a:noFill/>
            <a:prstDash val="solid"/>
            <a:round/>
          </a:ln>
        </c:spPr>
        <c:txPr>
          <a:bodyPr rot="0" spcFirstLastPara="0" vertOverflow="ellipsis" vert="horz" wrap="square" anchor="ctr" anchorCtr="1"/>
          <a:lstStyle/>
          <a:p>
            <a:pPr>
              <a:defRPr lang="zh-CN" sz="9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crossAx val="3"/>
        <c:crosses val="max"/>
        <c:crossBetween val="between"/>
      </c:valAx>
      <c:spPr>
        <a:noFill/>
        <a:ln w="25400">
          <a:noFill/>
        </a:ln>
      </c:spPr>
    </c:plotArea>
    <c:legend>
      <c:legendPos val="r"/>
      <c:layout>
        <c:manualLayout>
          <c:xMode val="edge"/>
          <c:yMode val="edge"/>
          <c:x val="0.0717499528245244"/>
          <c:y val="0.830499959131406"/>
          <c:w val="0.853999965690563"/>
          <c:h val="0.138249915992335"/>
        </c:manualLayout>
      </c:layout>
      <c:overlay val="0"/>
      <c:spPr>
        <a:noFill/>
        <a:ln w="25400">
          <a:noFill/>
        </a:ln>
      </c:spPr>
      <c:txPr>
        <a:bodyPr rot="0" spcFirstLastPara="0" vertOverflow="ellipsis" vert="horz" wrap="square" anchor="ctr" anchorCtr="1"/>
        <a:lstStyle/>
        <a:p>
          <a:pPr>
            <a:defRPr lang="zh-CN" sz="825"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0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410223624905"/>
          <c:y val="0.154431450798141"/>
          <c:w val="0.829439252336449"/>
          <c:h val="0.7625"/>
        </c:manualLayout>
      </c:layout>
      <c:barChart>
        <c:barDir val="col"/>
        <c:grouping val="clustered"/>
        <c:varyColors val="0"/>
        <c:ser>
          <c:idx val="1"/>
          <c:order val="0"/>
          <c:tx>
            <c:strRef>
              <c:f>Sheet1!$A$2</c:f>
              <c:strCache>
                <c:ptCount val="1"/>
                <c:pt idx="0">
                  <c:v>城镇人均可支配收入</c:v>
                </c:pt>
              </c:strCache>
            </c:strRef>
          </c:tx>
          <c:invertIfNegative val="0"/>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Sheet1!$B$2:$G$2</c:f>
              <c:numCache>
                <c:formatCode>General</c:formatCode>
                <c:ptCount val="6"/>
                <c:pt idx="0">
                  <c:v>22377</c:v>
                </c:pt>
                <c:pt idx="1">
                  <c:v>24055</c:v>
                </c:pt>
                <c:pt idx="2">
                  <c:v>25244</c:v>
                </c:pt>
                <c:pt idx="3">
                  <c:v>27339</c:v>
                </c:pt>
                <c:pt idx="4">
                  <c:v>29007</c:v>
                </c:pt>
                <c:pt idx="5">
                  <c:v>30660</c:v>
                </c:pt>
              </c:numCache>
            </c:numRef>
          </c:val>
        </c:ser>
        <c:ser>
          <c:idx val="2"/>
          <c:order val="2"/>
          <c:tx>
            <c:strRef>
              <c:f>Sheet1!$A$4</c:f>
              <c:strCache>
                <c:ptCount val="1"/>
                <c:pt idx="0">
                  <c:v>农村人均可支配收入</c:v>
                </c:pt>
              </c:strCache>
            </c:strRef>
          </c:tx>
          <c:invertIfNegative val="0"/>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Sheet1!$B$4:$G$4</c:f>
              <c:numCache>
                <c:formatCode>General</c:formatCode>
                <c:ptCount val="6"/>
                <c:pt idx="0">
                  <c:v>8071</c:v>
                </c:pt>
                <c:pt idx="1">
                  <c:v>9185</c:v>
                </c:pt>
                <c:pt idx="2">
                  <c:v>10007</c:v>
                </c:pt>
                <c:pt idx="3">
                  <c:v>11078</c:v>
                </c:pt>
                <c:pt idx="4">
                  <c:v>11909</c:v>
                </c:pt>
                <c:pt idx="5">
                  <c:v>13588</c:v>
                </c:pt>
              </c:numCache>
            </c:numRef>
          </c:val>
        </c:ser>
        <c:dLbls>
          <c:showLegendKey val="0"/>
          <c:showVal val="1"/>
          <c:showCatName val="0"/>
          <c:showSerName val="0"/>
          <c:showPercent val="0"/>
          <c:showBubbleSize val="0"/>
        </c:dLbls>
        <c:gapWidth val="150"/>
        <c:axId val="223922432"/>
        <c:axId val="223932416"/>
      </c:barChart>
      <c:lineChart>
        <c:grouping val="standard"/>
        <c:varyColors val="0"/>
        <c:ser>
          <c:idx val="0"/>
          <c:order val="1"/>
          <c:tx>
            <c:strRef>
              <c:f>Sheet1!$A$3</c:f>
              <c:strCache>
                <c:ptCount val="1"/>
                <c:pt idx="0">
                  <c:v>增幅%</c:v>
                </c:pt>
              </c:strCache>
            </c:strRef>
          </c:tx>
          <c:spPr>
            <a:ln w="9520" cap="rnd" cmpd="sng" algn="ctr">
              <a:solidFill>
                <a:srgbClr val="00008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Sheet1!$B$3:$G$3</c:f>
              <c:numCache>
                <c:formatCode>General</c:formatCode>
                <c:ptCount val="6"/>
                <c:pt idx="0">
                  <c:v>7.1</c:v>
                </c:pt>
                <c:pt idx="1">
                  <c:v>7.5</c:v>
                </c:pt>
                <c:pt idx="2">
                  <c:v>4.9</c:v>
                </c:pt>
                <c:pt idx="3">
                  <c:v>8.3</c:v>
                </c:pt>
                <c:pt idx="4">
                  <c:v>6.1</c:v>
                </c:pt>
                <c:pt idx="5">
                  <c:v>5.7</c:v>
                </c:pt>
              </c:numCache>
            </c:numRef>
          </c:val>
          <c:smooth val="0"/>
        </c:ser>
        <c:ser>
          <c:idx val="3"/>
          <c:order val="3"/>
          <c:tx>
            <c:strRef>
              <c:f>Sheet1!$A$5</c:f>
              <c:strCache>
                <c:ptCount val="1"/>
                <c:pt idx="0">
                  <c:v>增幅%</c:v>
                </c:pt>
              </c:strCache>
            </c:strRef>
          </c:tx>
          <c:spPr>
            <a:ln w="9520" cap="rnd" cmpd="sng" algn="ctr">
              <a:solidFill>
                <a:srgbClr val="00FFFF"/>
              </a:solidFill>
              <a:prstDash val="solid"/>
              <a:round/>
            </a:ln>
          </c:spPr>
          <c:marker>
            <c:symbol val="x"/>
            <c:size val="3"/>
            <c:spPr>
              <a:noFill/>
              <a:ln w="6350" cap="flat" cmpd="sng" algn="ctr">
                <a:solidFill>
                  <a:srgbClr val="00FFFF"/>
                </a:solidFill>
                <a:prstDash val="solid"/>
                <a:round/>
              </a:ln>
            </c:spPr>
          </c:marker>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2018年</c:v>
                </c:pt>
                <c:pt idx="1">
                  <c:v>2019年</c:v>
                </c:pt>
                <c:pt idx="2">
                  <c:v>2020年</c:v>
                </c:pt>
                <c:pt idx="3">
                  <c:v>2021年</c:v>
                </c:pt>
                <c:pt idx="4">
                  <c:v>2022年</c:v>
                </c:pt>
                <c:pt idx="5">
                  <c:v>2023年</c:v>
                </c:pt>
              </c:strCache>
            </c:strRef>
          </c:cat>
          <c:val>
            <c:numRef>
              <c:f>Sheet1!$B$5:$G$5</c:f>
              <c:numCache>
                <c:formatCode>General</c:formatCode>
                <c:ptCount val="6"/>
                <c:pt idx="0">
                  <c:v>12.6</c:v>
                </c:pt>
                <c:pt idx="1">
                  <c:v>13.8</c:v>
                </c:pt>
                <c:pt idx="2">
                  <c:v>8.9</c:v>
                </c:pt>
                <c:pt idx="3">
                  <c:v>10.7</c:v>
                </c:pt>
                <c:pt idx="4">
                  <c:v>7.5</c:v>
                </c:pt>
                <c:pt idx="5">
                  <c:v>14.1</c:v>
                </c:pt>
              </c:numCache>
            </c:numRef>
          </c:val>
          <c:smooth val="0"/>
        </c:ser>
        <c:dLbls>
          <c:showLegendKey val="0"/>
          <c:showVal val="1"/>
          <c:showCatName val="0"/>
          <c:showSerName val="0"/>
          <c:showPercent val="0"/>
          <c:showBubbleSize val="0"/>
        </c:dLbls>
        <c:marker val="1"/>
        <c:smooth val="0"/>
        <c:axId val="223934336"/>
        <c:axId val="223935872"/>
      </c:lineChart>
      <c:catAx>
        <c:axId val="223922432"/>
        <c:scaling>
          <c:orientation val="minMax"/>
        </c:scaling>
        <c:delete val="0"/>
        <c:axPos val="b"/>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23932416"/>
        <c:crosses val="autoZero"/>
        <c:auto val="0"/>
        <c:lblAlgn val="ctr"/>
        <c:lblOffset val="100"/>
        <c:tickLblSkip val="1"/>
        <c:noMultiLvlLbl val="0"/>
      </c:catAx>
      <c:valAx>
        <c:axId val="22393241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元</a:t>
                </a:r>
                <a:endParaRPr lang="zh-CN" altLang="en-US"/>
              </a:p>
            </c:rich>
          </c:tx>
          <c:layout>
            <c:manualLayout>
              <c:xMode val="edge"/>
              <c:yMode val="edge"/>
              <c:x val="0.044392523364486"/>
              <c:y val="0.05"/>
            </c:manualLayout>
          </c:layout>
          <c:overlay val="0"/>
          <c:spPr>
            <a:noFill/>
            <a:ln w="19041">
              <a:noFill/>
            </a:ln>
          </c:spPr>
        </c:title>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22432"/>
        <c:crosses val="autoZero"/>
        <c:crossBetween val="between"/>
      </c:valAx>
      <c:catAx>
        <c:axId val="22393433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35872"/>
        <c:crosses val="autoZero"/>
        <c:auto val="0"/>
        <c:lblAlgn val="ctr"/>
        <c:lblOffset val="100"/>
        <c:noMultiLvlLbl val="0"/>
      </c:catAx>
      <c:valAx>
        <c:axId val="223935872"/>
        <c:scaling>
          <c:orientation val="minMax"/>
        </c:scaling>
        <c:delete val="0"/>
        <c:axPos val="r"/>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62616822429907"/>
              <c:y val="0.0625"/>
            </c:manualLayout>
          </c:layout>
          <c:overlay val="0"/>
          <c:spPr>
            <a:noFill/>
            <a:ln w="19041">
              <a:noFill/>
            </a:ln>
          </c:spPr>
        </c:title>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34336"/>
        <c:crosses val="max"/>
        <c:crossBetween val="between"/>
      </c:valAx>
    </c:plotArea>
    <c:legend>
      <c:legendPos val="r"/>
      <c:layout>
        <c:manualLayout>
          <c:xMode val="edge"/>
          <c:yMode val="edge"/>
          <c:x val="0.167857814759915"/>
          <c:y val="0.0394960884486327"/>
          <c:w val="0.719626168224299"/>
          <c:h val="0.121875"/>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4B260-3A81-4865-85C7-52295F1EECD2}">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30</Pages>
  <Words>1620</Words>
  <Characters>9234</Characters>
  <Lines>76</Lines>
  <Paragraphs>21</Paragraphs>
  <TotalTime>50</TotalTime>
  <ScaleCrop>false</ScaleCrop>
  <LinksUpToDate>false</LinksUpToDate>
  <CharactersWithSpaces>10833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2022-03-14T06:16:00Z</dcterms:created>
  <dc:creator>Lenovo User</dc:creator>
  <cp:lastModifiedBy>壶水欢歌</cp:lastModifiedBy>
  <cp:lastPrinted>2024-03-05T10:12:00Z</cp:lastPrinted>
  <dcterms:modified xsi:type="dcterms:W3CDTF">2024-03-19T02:12:01Z</dcterms:modified>
  <dc:title>广灵县统计局2010年国民经济和社会发展统计公报</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D6A4746AE7764D77A645C8CECF5CD550_13</vt:lpwstr>
  </property>
</Properties>
</file>