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bookmarkStart w:id="1" w:name="_GoBack"/>
      <w:bookmarkStart w:id="0" w:name="_Toc24724718"/>
      <w:r>
        <w:rPr>
          <w:rFonts w:hint="eastAsia" w:ascii="方正小标宋_GBK" w:hAnsi="方正小标宋_GBK" w:eastAsia="方正小标宋_GBK"/>
          <w:b w:val="0"/>
          <w:bCs w:val="0"/>
          <w:sz w:val="30"/>
          <w:lang w:eastAsia="zh-CN"/>
        </w:rPr>
        <w:t>广灵县</w:t>
      </w:r>
      <w:r>
        <w:rPr>
          <w:rFonts w:hint="eastAsia" w:ascii="方正小标宋_GBK" w:hAnsi="方正小标宋_GBK" w:eastAsia="方正小标宋_GBK"/>
          <w:b w:val="0"/>
          <w:bCs w:val="0"/>
          <w:sz w:val="30"/>
        </w:rPr>
        <w:t>国有土地上房屋征收与补偿领域基层政务公开标准目录</w:t>
      </w:r>
      <w:bookmarkEnd w:id="0"/>
    </w:p>
    <w:bookmarkEnd w:id="1"/>
    <w:tbl>
      <w:tblPr>
        <w:tblStyle w:val="3"/>
        <w:tblW w:w="0" w:type="auto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080"/>
        <w:gridCol w:w="1800"/>
        <w:gridCol w:w="3240"/>
        <w:gridCol w:w="1260"/>
        <w:gridCol w:w="1440"/>
        <w:gridCol w:w="108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9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32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4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32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国家层面法规政策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县人民政府及房屋征收部门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地方层面法规政策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地方性法规；地方政府规章；规范性文件。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县人民政府及房屋征收部门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启动要件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县人民政府及相关部门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社会稳定风险评估结果。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自收到申请之日起20个工作日内公开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■其他_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房屋调查登记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县人民政府及房屋征收部门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房屋征收补偿方案拟订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论证结论;征求意见情况;根据公众意见修改情况。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信息形成或者变更之日起20个工作日内予以公开；征求意见期限不得少于30日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■其他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申请人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评估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房地产估价机构确定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被征收房屋评估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分户的初步评估结果。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分户补偿情况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分户补偿结果。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产权调换房屋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房源信息；选房办法；选房结果。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县房屋征收部门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房屋征收补偿决定公告。</w:t>
            </w:r>
          </w:p>
        </w:tc>
        <w:tc>
          <w:tcPr>
            <w:tcW w:w="32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县人民政府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55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463" w:right="1440" w:bottom="15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9129E"/>
    <w:rsid w:val="18F91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2022-01-05T01:45:00Z</dcterms:created>
  <dc:creator>边走边忘</dc:creator>
  <cp:lastModifiedBy>边走边忘</cp:lastModifiedBy>
  <dcterms:modified xsi:type="dcterms:W3CDTF">2022-01-05T01:47:07Z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3E4C037F4FE3496CACD220124716C40F</vt:lpwstr>
  </property>
</Properties>
</file>