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A19" w:rsidRDefault="003826EE">
      <w:pPr>
        <w:spacing w:line="600" w:lineRule="exact"/>
        <w:jc w:val="left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广灵县第十七届人民代</w:t>
      </w: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表大会第五次会议文件</w:t>
      </w:r>
    </w:p>
    <w:p w:rsidR="00FC0A19" w:rsidRDefault="00FC0A19">
      <w:pPr>
        <w:spacing w:line="600" w:lineRule="exact"/>
        <w:ind w:firstLine="880"/>
        <w:jc w:val="left"/>
        <w:rPr>
          <w:rFonts w:ascii="方正大标宋简体" w:eastAsia="方正大标宋简体"/>
          <w:sz w:val="44"/>
          <w:szCs w:val="44"/>
        </w:rPr>
      </w:pPr>
      <w:bookmarkStart w:id="0" w:name="_GoBack"/>
      <w:bookmarkEnd w:id="0"/>
    </w:p>
    <w:p w:rsidR="00FC0A19" w:rsidRDefault="003826E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关于广灵县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年国民经济和社会</w:t>
      </w:r>
    </w:p>
    <w:p w:rsidR="00FC0A19" w:rsidRDefault="003826E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发展计划执行情况与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年国民经济和</w:t>
      </w:r>
    </w:p>
    <w:p w:rsidR="00FC0A19" w:rsidRDefault="003826E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社会发展计划（草案）的报告</w:t>
      </w:r>
    </w:p>
    <w:p w:rsidR="00FC0A19" w:rsidRDefault="00FC0A19">
      <w:pPr>
        <w:pStyle w:val="Default"/>
        <w:spacing w:line="600" w:lineRule="exact"/>
        <w:jc w:val="center"/>
        <w:rPr>
          <w:rFonts w:ascii="Times New Roman" w:eastAsia="楷体_GB2312" w:hAnsi="Times New Roman" w:hint="default"/>
          <w:sz w:val="32"/>
          <w:szCs w:val="32"/>
        </w:rPr>
      </w:pPr>
    </w:p>
    <w:p w:rsidR="00FC0A19" w:rsidRDefault="003826EE">
      <w:pPr>
        <w:spacing w:line="600" w:lineRule="exact"/>
        <w:rPr>
          <w:rFonts w:ascii="楷体_GB2312" w:eastAsia="楷体_GB2312" w:hAnsi="楷体_GB2312" w:cs="楷体_GB2312"/>
          <w:snapToGrid w:val="0"/>
          <w:color w:val="000000" w:themeColor="text1"/>
          <w:spacing w:val="-20"/>
          <w:sz w:val="32"/>
          <w:szCs w:val="32"/>
        </w:rPr>
      </w:pPr>
      <w:r>
        <w:rPr>
          <w:rFonts w:ascii="楷体_GB2312" w:eastAsia="楷体_GB2312" w:hAnsi="楷体_GB2312" w:cs="楷体_GB2312" w:hint="eastAsia"/>
          <w:snapToGrid w:val="0"/>
          <w:color w:val="000000" w:themeColor="text1"/>
          <w:spacing w:val="-20"/>
          <w:sz w:val="32"/>
          <w:szCs w:val="32"/>
        </w:rPr>
        <w:t>——</w:t>
      </w:r>
      <w:r>
        <w:rPr>
          <w:rFonts w:ascii="楷体_GB2312" w:eastAsia="楷体_GB2312" w:hAnsi="楷体_GB2312" w:cs="楷体_GB2312" w:hint="eastAsia"/>
          <w:snapToGrid w:val="0"/>
          <w:color w:val="000000" w:themeColor="text1"/>
          <w:spacing w:val="-20"/>
          <w:sz w:val="32"/>
          <w:szCs w:val="32"/>
        </w:rPr>
        <w:t>2024</w:t>
      </w:r>
      <w:r>
        <w:rPr>
          <w:rFonts w:ascii="楷体_GB2312" w:eastAsia="楷体_GB2312" w:hAnsi="楷体_GB2312" w:cs="楷体_GB2312" w:hint="eastAsia"/>
          <w:snapToGrid w:val="0"/>
          <w:color w:val="000000" w:themeColor="text1"/>
          <w:spacing w:val="-20"/>
          <w:sz w:val="32"/>
          <w:szCs w:val="32"/>
        </w:rPr>
        <w:t>年</w:t>
      </w:r>
      <w:r>
        <w:rPr>
          <w:rFonts w:ascii="楷体_GB2312" w:eastAsia="楷体_GB2312" w:hAnsi="楷体_GB2312" w:cs="楷体_GB2312" w:hint="eastAsia"/>
          <w:snapToGrid w:val="0"/>
          <w:color w:val="000000" w:themeColor="text1"/>
          <w:spacing w:val="-20"/>
          <w:sz w:val="32"/>
          <w:szCs w:val="32"/>
        </w:rPr>
        <w:t>4</w:t>
      </w:r>
      <w:r>
        <w:rPr>
          <w:rFonts w:ascii="楷体_GB2312" w:eastAsia="楷体_GB2312" w:hAnsi="楷体_GB2312" w:cs="楷体_GB2312" w:hint="eastAsia"/>
          <w:snapToGrid w:val="0"/>
          <w:color w:val="000000" w:themeColor="text1"/>
          <w:spacing w:val="-20"/>
          <w:sz w:val="32"/>
          <w:szCs w:val="32"/>
        </w:rPr>
        <w:t>月</w:t>
      </w:r>
      <w:r>
        <w:rPr>
          <w:rFonts w:ascii="楷体_GB2312" w:eastAsia="楷体_GB2312" w:hAnsi="楷体_GB2312" w:cs="楷体_GB2312" w:hint="eastAsia"/>
          <w:snapToGrid w:val="0"/>
          <w:color w:val="000000" w:themeColor="text1"/>
          <w:spacing w:val="-20"/>
          <w:sz w:val="32"/>
          <w:szCs w:val="32"/>
        </w:rPr>
        <w:t xml:space="preserve">  </w:t>
      </w:r>
      <w:r>
        <w:rPr>
          <w:rFonts w:ascii="楷体_GB2312" w:eastAsia="楷体_GB2312" w:hAnsi="楷体_GB2312" w:cs="楷体_GB2312" w:hint="eastAsia"/>
          <w:snapToGrid w:val="0"/>
          <w:color w:val="000000" w:themeColor="text1"/>
          <w:spacing w:val="-20"/>
          <w:sz w:val="32"/>
          <w:szCs w:val="32"/>
        </w:rPr>
        <w:t>日在广灵县第十七届人民代表大会第五次会议上</w:t>
      </w:r>
    </w:p>
    <w:p w:rsidR="00FC0A19" w:rsidRDefault="003826EE">
      <w:pPr>
        <w:spacing w:line="600" w:lineRule="exact"/>
        <w:jc w:val="center"/>
        <w:rPr>
          <w:rFonts w:ascii="楷体_GB2312" w:eastAsia="楷体_GB2312" w:hAnsi="楷体_GB2312" w:cs="楷体_GB2312"/>
          <w:color w:val="00000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广灵县发展和改革局局长</w:t>
      </w: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 xml:space="preserve">  </w:t>
      </w: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白瑞廷</w:t>
      </w:r>
    </w:p>
    <w:p w:rsidR="00FC0A19" w:rsidRDefault="00FC0A19">
      <w:pPr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FC0A19" w:rsidRDefault="003826EE">
      <w:pPr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各位代表：</w:t>
      </w:r>
    </w:p>
    <w:p w:rsidR="00FC0A19" w:rsidRDefault="003826EE">
      <w:pPr>
        <w:spacing w:line="600" w:lineRule="exact"/>
        <w:ind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受县人民政府委托，我向大会报告《广灵县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年国民经济和社会发展计划执行情况与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年国民经济和社会发展计划草案》，请予审议，并请各位政协委员和列席会议的同志们提出意见。</w:t>
      </w:r>
    </w:p>
    <w:p w:rsidR="00FC0A19" w:rsidRDefault="003826EE">
      <w:pPr>
        <w:spacing w:line="60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一、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2023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年国民经济和社会发展计划执行情况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年，是全面贯彻落实党的二十大精神开局之年，也是实施“十四五”规划</w:t>
      </w:r>
      <w:r>
        <w:rPr>
          <w:rFonts w:ascii="仿宋_GB2312" w:eastAsia="仿宋_GB2312" w:hAnsi="仿宋_GB2312" w:cs="仿宋_GB2312" w:hint="eastAsia"/>
          <w:sz w:val="32"/>
          <w:szCs w:val="32"/>
        </w:rPr>
        <w:t>关键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之年。一年来，全县上下坚持以习近平新时代中国特色社会主义思想为指导，深入贯彻落实党的二十大、二十届二中全会精神，聚焦省委重大决策部署，紧扣“对接京津冀、打造桥头堡”的战略机遇，坚持稳中求进工作总基调，以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“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12345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”发展思路为抓手，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以强烈的历史责任感和使命感主动担当作为，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各项主要经济指标均完成年度目标任务，增速普遍进入全市第一方阵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，全县呈现出经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济平稳、社会稳定、人民幸福的良好局面。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仿宋_GB2312" w:cs="仿宋_GB2312" w:hint="eastAsia"/>
          <w:color w:val="000000" w:themeColor="text1"/>
          <w:sz w:val="32"/>
          <w:szCs w:val="32"/>
        </w:rPr>
        <w:t>（一）攻坚克难稳增长，经济运行回升向好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运行调度科学有力。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强化经济运行精准调度和市场主体帮扶解困，准确把握经济运行态势，强化经济运行监测，扎实推动稳增长政策落实，促进科学决策、精准发力，全县经济承压起步、稳中有进、持续向好。全年，地区生产总值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65.43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9.7%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，增速全市第一；第三产业增加值完成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30.5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，增速全市第一；规上工业增加值完</w:t>
      </w:r>
      <w:r>
        <w:rPr>
          <w:rFonts w:ascii="仿宋_GB2312" w:eastAsia="仿宋_GB2312" w:hAnsi="仿宋_GB2312" w:cs="仿宋_GB2312" w:hint="eastAsia"/>
          <w:sz w:val="32"/>
          <w:szCs w:val="32"/>
        </w:rPr>
        <w:t>成</w:t>
      </w:r>
      <w:r>
        <w:rPr>
          <w:rFonts w:ascii="仿宋_GB2312" w:eastAsia="仿宋_GB2312" w:hAnsi="仿宋_GB2312" w:cs="仿宋_GB2312" w:hint="eastAsia"/>
          <w:sz w:val="32"/>
          <w:szCs w:val="32"/>
        </w:rPr>
        <w:t>13.46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20.1%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，增速全市第二；一般公共预算收入完成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1.97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11.2%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，增速全市第四；社会消费品零售总额完成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13.27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2.1%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，增速全市第二；城镇居民人均可支配收入完成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30660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5.7%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，增速全市第二；农村居民人均可支配收入完成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13588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元，同比增增长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14.1%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，增速全市第一。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项目投资推动有力。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建立全县重大项目顶格服务工作机制，实行领导包保、“双调度”“挂图作战”机制，充分发挥投资的压舱顶梁作用。全年共推进实施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104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个，总投资</w:t>
      </w:r>
      <w:r>
        <w:rPr>
          <w:rFonts w:ascii="仿宋_GB2312" w:eastAsia="仿宋_GB2312" w:hAnsi="仿宋_GB2312" w:cs="仿宋_GB2312" w:hint="eastAsia"/>
          <w:sz w:val="32"/>
          <w:szCs w:val="32"/>
        </w:rPr>
        <w:t>131.9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年度完成固定资产投资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33.28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35.84%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，增速全市第一。其中民间投资完成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27.27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97.15%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；产业投资完成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25.82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31.73%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争取专项债项目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个，总投资</w:t>
      </w:r>
      <w:r>
        <w:rPr>
          <w:rFonts w:ascii="仿宋_GB2312" w:eastAsia="仿宋_GB2312" w:hAnsi="仿宋_GB2312" w:cs="仿宋_GB2312" w:hint="eastAsia"/>
          <w:sz w:val="32"/>
          <w:szCs w:val="32"/>
        </w:rPr>
        <w:t>10.82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亿元，争取专项债</w:t>
      </w:r>
      <w:r>
        <w:rPr>
          <w:rFonts w:ascii="仿宋_GB2312" w:eastAsia="仿宋_GB2312" w:hAnsi="仿宋_GB2312" w:cs="仿宋_GB2312" w:hint="eastAsia"/>
          <w:sz w:val="32"/>
          <w:szCs w:val="32"/>
        </w:rPr>
        <w:t>2.77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园区建设支撑有力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。充分发挥经开区经济建设“主战场”、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招商引资“主力军”、对外开放“主窗口”、产业发展“主阵地”作用，为全县经济提质提速注入新动能。全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年，经开区规上工业增加值完成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12.7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亿元，同比增速</w:t>
      </w:r>
      <w:r>
        <w:rPr>
          <w:rFonts w:ascii="仿宋_GB2312" w:eastAsia="仿宋_GB2312" w:hAnsi="仿宋_GB2312" w:cs="仿宋_GB2312" w:hint="eastAsia"/>
          <w:sz w:val="32"/>
          <w:szCs w:val="32"/>
        </w:rPr>
        <w:t>21.4%</w:t>
      </w:r>
      <w:r>
        <w:rPr>
          <w:rFonts w:ascii="仿宋_GB2312" w:eastAsia="仿宋_GB2312" w:hAnsi="仿宋_GB2312" w:cs="仿宋_GB2312" w:hint="eastAsia"/>
          <w:sz w:val="32"/>
          <w:szCs w:val="32"/>
        </w:rPr>
        <w:t>，占全县</w:t>
      </w:r>
      <w:r>
        <w:rPr>
          <w:rFonts w:ascii="仿宋_GB2312" w:eastAsia="仿宋_GB2312" w:hAnsi="仿宋_GB2312" w:cs="仿宋_GB2312" w:hint="eastAsia"/>
          <w:sz w:val="32"/>
          <w:szCs w:val="32"/>
        </w:rPr>
        <w:t>94.35%</w:t>
      </w:r>
      <w:r>
        <w:rPr>
          <w:rFonts w:ascii="仿宋_GB2312" w:eastAsia="仿宋_GB2312" w:hAnsi="仿宋_GB2312" w:cs="仿宋_GB2312" w:hint="eastAsia"/>
          <w:sz w:val="32"/>
          <w:szCs w:val="32"/>
        </w:rPr>
        <w:t>；累</w:t>
      </w:r>
      <w:r>
        <w:rPr>
          <w:rFonts w:ascii="仿宋_GB2312" w:eastAsia="仿宋_GB2312" w:hAnsi="仿宋_GB2312" w:cs="仿宋_GB2312" w:hint="eastAsia"/>
          <w:sz w:val="32"/>
          <w:szCs w:val="32"/>
        </w:rPr>
        <w:t>计工业投资完成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13.3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亿元，同比增速</w:t>
      </w:r>
      <w:r>
        <w:rPr>
          <w:rFonts w:ascii="仿宋_GB2312" w:eastAsia="仿宋_GB2312" w:hAnsi="仿宋_GB2312" w:cs="仿宋_GB2312" w:hint="eastAsia"/>
          <w:sz w:val="32"/>
          <w:szCs w:val="32"/>
        </w:rPr>
        <w:t>71.8%</w:t>
      </w:r>
      <w:r>
        <w:rPr>
          <w:rFonts w:ascii="仿宋_GB2312" w:eastAsia="仿宋_GB2312" w:hAnsi="仿宋_GB2312" w:cs="仿宋_GB2312" w:hint="eastAsia"/>
          <w:sz w:val="32"/>
          <w:szCs w:val="32"/>
        </w:rPr>
        <w:t>，占全县</w:t>
      </w:r>
      <w:r>
        <w:rPr>
          <w:rFonts w:ascii="仿宋_GB2312" w:eastAsia="仿宋_GB2312" w:hAnsi="仿宋_GB2312" w:cs="仿宋_GB2312" w:hint="eastAsia"/>
          <w:sz w:val="32"/>
          <w:szCs w:val="32"/>
        </w:rPr>
        <w:t>54.4%</w:t>
      </w:r>
      <w:r>
        <w:rPr>
          <w:rFonts w:ascii="仿宋_GB2312" w:eastAsia="仿宋_GB2312" w:hAnsi="仿宋_GB2312" w:cs="仿宋_GB2312" w:hint="eastAsia"/>
          <w:sz w:val="32"/>
          <w:szCs w:val="32"/>
        </w:rPr>
        <w:t>；转型项目当年完成投资占工业投资比重</w:t>
      </w:r>
      <w:r>
        <w:rPr>
          <w:rFonts w:ascii="仿宋_GB2312" w:eastAsia="仿宋_GB2312" w:hAnsi="仿宋_GB2312" w:cs="仿宋_GB2312" w:hint="eastAsia"/>
          <w:sz w:val="32"/>
          <w:szCs w:val="32"/>
        </w:rPr>
        <w:t>100%</w:t>
      </w:r>
      <w:r>
        <w:rPr>
          <w:rFonts w:ascii="仿宋_GB2312" w:eastAsia="仿宋_GB2312" w:hAnsi="仿宋_GB2312" w:cs="仿宋_GB2312" w:hint="eastAsia"/>
          <w:sz w:val="32"/>
          <w:szCs w:val="32"/>
        </w:rPr>
        <w:t>；高新技术企业成功申报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家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“四上”企业净增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家；产出强度</w:t>
      </w:r>
      <w:r>
        <w:rPr>
          <w:rFonts w:ascii="仿宋_GB2312" w:eastAsia="仿宋_GB2312" w:hAnsi="仿宋_GB2312" w:cs="仿宋_GB2312" w:hint="eastAsia"/>
          <w:sz w:val="32"/>
          <w:szCs w:val="32"/>
        </w:rPr>
        <w:t>375.45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亩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（二）聚焦实体强支撑，产业发展提质增效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特优农业扩面增量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。压实压紧耕地保护和粮食安全政治责任，完成粮食作物播种面积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45.05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万亩，</w:t>
      </w:r>
      <w:r>
        <w:rPr>
          <w:rFonts w:ascii="仿宋_GB2312" w:eastAsia="仿宋_GB2312" w:hAnsi="仿宋_GB2312" w:cs="仿宋_GB2312" w:hint="eastAsia"/>
          <w:sz w:val="32"/>
          <w:szCs w:val="32"/>
        </w:rPr>
        <w:t>推广滴灌高效节水技术</w:t>
      </w:r>
      <w:r>
        <w:rPr>
          <w:rFonts w:ascii="仿宋_GB2312" w:eastAsia="仿宋_GB2312" w:hAnsi="仿宋_GB2312" w:cs="仿宋_GB2312" w:hint="eastAsia"/>
          <w:sz w:val="32"/>
          <w:szCs w:val="32"/>
        </w:rPr>
        <w:t>65143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亩，新建高标准农田</w:t>
      </w:r>
      <w:r>
        <w:rPr>
          <w:rFonts w:ascii="仿宋_GB2312" w:eastAsia="仿宋_GB2312" w:hAnsi="仿宋_GB2312" w:cs="仿宋_GB2312" w:hint="eastAsia"/>
          <w:sz w:val="32"/>
          <w:szCs w:val="32"/>
        </w:rPr>
        <w:t>2.38</w:t>
      </w:r>
      <w:r>
        <w:rPr>
          <w:rFonts w:ascii="仿宋_GB2312" w:eastAsia="仿宋_GB2312" w:hAnsi="仿宋_GB2312" w:cs="仿宋_GB2312" w:hint="eastAsia"/>
          <w:sz w:val="32"/>
          <w:szCs w:val="32"/>
        </w:rPr>
        <w:t>万亩，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整改撂荒及“非粮化”田块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万亩，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粮食产量达到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191462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；锚定发展设施农业这一主攻方向，建成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麒麟西瓜拱棚、蔬菜暖棚、蔬菜冷棚等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8048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亩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17769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栋，设施大棚面积、数量分别同比增长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504.3%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1002.2%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</w:t>
      </w:r>
      <w:r>
        <w:rPr>
          <w:rFonts w:ascii="仿宋_GB2312" w:eastAsia="仿宋_GB2312" w:cs="仿宋_GB2312" w:hint="eastAsia"/>
          <w:sz w:val="32"/>
          <w:szCs w:val="32"/>
        </w:rPr>
        <w:t>全力扶持壮大农业产业化龙头企业，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扩面发展绿色菌菇、生态养殖、功能食品加工等产业项目，</w:t>
      </w:r>
      <w:r>
        <w:rPr>
          <w:rFonts w:ascii="仿宋_GB2312" w:eastAsia="仿宋_GB2312" w:cs="仿宋_GB2312" w:hint="eastAsia"/>
          <w:sz w:val="32"/>
          <w:szCs w:val="32"/>
        </w:rPr>
        <w:t>农业产业化龙头企业营业收入完成</w:t>
      </w:r>
      <w:r>
        <w:rPr>
          <w:rFonts w:ascii="仿宋_GB2312" w:eastAsia="仿宋_GB2312" w:cs="仿宋_GB2312" w:hint="eastAsia"/>
          <w:sz w:val="32"/>
          <w:szCs w:val="32"/>
        </w:rPr>
        <w:t>28.5</w:t>
      </w:r>
      <w:r>
        <w:rPr>
          <w:rFonts w:ascii="仿宋_GB2312" w:eastAsia="仿宋_GB2312" w:cs="仿宋_GB2312" w:hint="eastAsia"/>
          <w:sz w:val="32"/>
          <w:szCs w:val="32"/>
        </w:rPr>
        <w:t>亿元，占全市总任务的</w:t>
      </w:r>
      <w:r>
        <w:rPr>
          <w:rFonts w:ascii="仿宋_GB2312" w:eastAsia="仿宋_GB2312" w:cs="仿宋_GB2312" w:hint="eastAsia"/>
          <w:sz w:val="32"/>
          <w:szCs w:val="32"/>
        </w:rPr>
        <w:t>25%</w:t>
      </w:r>
      <w:r>
        <w:rPr>
          <w:rFonts w:ascii="仿宋_GB2312" w:eastAsia="仿宋_GB2312" w:cs="仿宋_GB2312" w:hint="eastAsia"/>
          <w:sz w:val="32"/>
          <w:szCs w:val="32"/>
        </w:rPr>
        <w:t>；加大农业品牌建设力度，在</w:t>
      </w:r>
      <w:r>
        <w:rPr>
          <w:rFonts w:ascii="仿宋_GB2312" w:eastAsia="仿宋_GB2312" w:cs="仿宋_GB2312" w:hint="eastAsia"/>
          <w:sz w:val="32"/>
          <w:szCs w:val="32"/>
        </w:rPr>
        <w:t>8</w:t>
      </w:r>
      <w:r>
        <w:rPr>
          <w:rFonts w:ascii="仿宋_GB2312" w:eastAsia="仿宋_GB2312" w:cs="仿宋_GB2312" w:hint="eastAsia"/>
          <w:sz w:val="32"/>
          <w:szCs w:val="32"/>
        </w:rPr>
        <w:t>个乡镇分别组建了农技农经服务中心，全年完成“三品一标”认证换证</w:t>
      </w:r>
      <w:r>
        <w:rPr>
          <w:rFonts w:ascii="仿宋_GB2312" w:eastAsia="仿宋_GB2312" w:cs="仿宋_GB2312" w:hint="eastAsia"/>
          <w:sz w:val="32"/>
          <w:szCs w:val="32"/>
        </w:rPr>
        <w:t>12</w:t>
      </w:r>
      <w:r>
        <w:rPr>
          <w:rFonts w:ascii="仿宋_GB2312" w:eastAsia="仿宋_GB2312" w:cs="仿宋_GB2312" w:hint="eastAsia"/>
          <w:sz w:val="32"/>
          <w:szCs w:val="32"/>
        </w:rPr>
        <w:t>个，新报“圳品”</w:t>
      </w:r>
      <w:r>
        <w:rPr>
          <w:rFonts w:ascii="仿宋_GB2312" w:eastAsia="仿宋_GB2312" w:cs="仿宋_GB2312" w:hint="eastAsia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个，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全县农林牧渔业总产值完成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19.55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亿元，同比增长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9.9%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优势工业加快起势。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深挖优势资源和产业潜力，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全年</w:t>
      </w:r>
      <w:r>
        <w:rPr>
          <w:rFonts w:ascii="仿宋_GB2312" w:eastAsia="仿宋_GB2312" w:hAnsi="仿宋_GB2312" w:cs="仿宋_GB2312" w:hint="eastAsia"/>
          <w:sz w:val="32"/>
          <w:szCs w:val="32"/>
        </w:rPr>
        <w:t>实施工业项目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27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，累计完成投资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13.14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亿元，规</w:t>
      </w:r>
      <w:r>
        <w:rPr>
          <w:rFonts w:ascii="仿宋_GB2312" w:eastAsia="仿宋_GB2312" w:hAnsi="仿宋_GB2312" w:cs="仿宋_GB2312" w:hint="eastAsia"/>
          <w:sz w:val="32"/>
          <w:szCs w:val="32"/>
        </w:rPr>
        <w:t>上工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业企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业达到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家，支柱产业产品大幅增长，发电、锌、铝合金锭等产品同比分别增长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18.21%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448.92%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33.99%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加速推动再生金属产业，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实施了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100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万吨有色金属交易市场、中远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万吨再生铝、鲲鹏汽车拆解等项目，</w:t>
      </w:r>
      <w:r>
        <w:rPr>
          <w:rFonts w:ascii="仿宋_GB2312" w:eastAsia="仿宋_GB2312" w:cs="仿宋_GB2312" w:hint="eastAsia"/>
          <w:sz w:val="32"/>
          <w:szCs w:val="32"/>
        </w:rPr>
        <w:t>广灵</w:t>
      </w:r>
      <w:r>
        <w:rPr>
          <w:rFonts w:ascii="仿宋_GB2312" w:eastAsia="仿宋_GB2312" w:hAnsi="仿宋" w:cs="仿宋" w:hint="eastAsia"/>
          <w:sz w:val="32"/>
          <w:szCs w:val="32"/>
        </w:rPr>
        <w:t>再生金属专业镇被确定为大同市首批市级专业镇，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御鑫隆、广雄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家企业列入全省铝镁精深加工产业链，</w:t>
      </w:r>
      <w:r>
        <w:rPr>
          <w:rFonts w:ascii="仿宋_GB2312" w:eastAsia="仿宋_GB2312" w:hAnsi="仿宋" w:cs="仿宋" w:hint="eastAsia"/>
          <w:sz w:val="32"/>
          <w:szCs w:val="32"/>
        </w:rPr>
        <w:t>再生金属企业达到</w:t>
      </w:r>
      <w:r>
        <w:rPr>
          <w:rFonts w:ascii="仿宋_GB2312" w:eastAsia="仿宋_GB2312" w:hAnsi="仿宋" w:cs="仿宋" w:hint="eastAsia"/>
          <w:sz w:val="32"/>
          <w:szCs w:val="32"/>
        </w:rPr>
        <w:t>14</w:t>
      </w:r>
      <w:r>
        <w:rPr>
          <w:rFonts w:ascii="仿宋_GB2312" w:eastAsia="仿宋_GB2312" w:hAnsi="仿宋" w:cs="仿宋" w:hint="eastAsia"/>
          <w:sz w:val="32"/>
          <w:szCs w:val="32"/>
        </w:rPr>
        <w:t>家，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总产值占工业总产值的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58%</w:t>
      </w:r>
      <w:r>
        <w:rPr>
          <w:rFonts w:ascii="仿宋_GB2312" w:eastAsia="仿宋_GB2312" w:hAnsi="仿宋_GB2312" w:cs="仿宋_GB2312" w:hint="eastAsia"/>
          <w:sz w:val="32"/>
          <w:szCs w:val="32"/>
        </w:rPr>
        <w:t>。持续壮大新能源产业，以“晋能控股晋北能源（山西）有限公司新能源基地光伏风电配套储能项目”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建设为契机，持续壮大风光电储，国电电力南村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100MW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风电、秦达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100MW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光伏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+10%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储能、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5.9MW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光伏扶贫等项目如期并网，新申报风力发电项目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个，总</w:t>
      </w:r>
      <w:r>
        <w:rPr>
          <w:rFonts w:ascii="仿宋_GB2312" w:eastAsia="仿宋_GB2312" w:hAnsi="仿宋_GB2312" w:cs="仿宋_GB2312" w:hint="eastAsia"/>
          <w:sz w:val="32"/>
          <w:szCs w:val="32"/>
        </w:rPr>
        <w:t>装机</w:t>
      </w:r>
      <w:r>
        <w:rPr>
          <w:rFonts w:ascii="仿宋_GB2312" w:eastAsia="仿宋_GB2312" w:hAnsi="仿宋_GB2312" w:cs="仿宋_GB2312" w:hint="eastAsia"/>
          <w:sz w:val="32"/>
          <w:szCs w:val="32"/>
        </w:rPr>
        <w:t>259MW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全县能源企业达到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家，装机规模</w:t>
      </w:r>
      <w:r>
        <w:rPr>
          <w:rFonts w:ascii="仿宋_GB2312" w:eastAsia="仿宋_GB2312" w:hAnsi="仿宋_GB2312" w:cs="仿宋_GB2312" w:hint="eastAsia"/>
          <w:sz w:val="32"/>
          <w:szCs w:val="32"/>
        </w:rPr>
        <w:t>1034MW</w:t>
      </w:r>
      <w:r>
        <w:rPr>
          <w:rFonts w:ascii="仿宋_GB2312" w:eastAsia="仿宋_GB2312" w:hAnsi="仿宋_GB2312" w:cs="仿宋_GB2312" w:hint="eastAsia"/>
          <w:sz w:val="32"/>
          <w:szCs w:val="32"/>
        </w:rPr>
        <w:t>，发电量</w:t>
      </w:r>
      <w:r>
        <w:rPr>
          <w:rFonts w:ascii="仿宋_GB2312" w:eastAsia="仿宋_GB2312" w:hAnsi="仿宋_GB2312" w:cs="仿宋_GB2312" w:hint="eastAsia"/>
          <w:sz w:val="32"/>
          <w:szCs w:val="32"/>
        </w:rPr>
        <w:t>21.4</w:t>
      </w:r>
      <w:r>
        <w:rPr>
          <w:rFonts w:ascii="仿宋_GB2312" w:eastAsia="仿宋_GB2312" w:hAnsi="仿宋_GB2312" w:cs="仿宋_GB2312" w:hint="eastAsia"/>
          <w:sz w:val="32"/>
          <w:szCs w:val="32"/>
        </w:rPr>
        <w:t>亿度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。发力数字经济，主动融入“东数西算”产业布局，加速推进投资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4.5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亿元的零碳数基·桃花源算力中心、投资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亿元的抖音数据中心项目建设，积极谋划抖音数据中心二期项目，推动数据存储、数据应用、关联制造以及生产性服务业项目集聚发展。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文旅商贸活力迸发。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全域旅游加速推进，</w:t>
      </w:r>
      <w:r>
        <w:rPr>
          <w:rFonts w:ascii="仿宋_GB2312" w:eastAsia="仿宋_GB2312" w:hAnsi="TimesNewRoman" w:cs="仿宋_GB2312" w:hint="eastAsia"/>
          <w:sz w:val="32"/>
          <w:szCs w:val="32"/>
        </w:rPr>
        <w:t>完成了《全域旅游规划》编制工作，明晰了文旅融合的发展方向和实施路径。积极开展了剪纸</w:t>
      </w:r>
      <w:r>
        <w:rPr>
          <w:rFonts w:ascii="仿宋_GB2312" w:eastAsia="仿宋_GB2312" w:hAnsi="TimesNewRoman" w:cs="仿宋_GB2312" w:hint="eastAsia"/>
          <w:sz w:val="32"/>
          <w:szCs w:val="32"/>
        </w:rPr>
        <w:t>艺术博物馆、水神堂、白羊峪等</w:t>
      </w:r>
      <w:r>
        <w:rPr>
          <w:rFonts w:ascii="仿宋_GB2312" w:eastAsia="仿宋_GB2312" w:hAnsi="TimesNewRoman" w:cs="仿宋_GB2312" w:hint="eastAsia"/>
          <w:sz w:val="32"/>
          <w:szCs w:val="32"/>
        </w:rPr>
        <w:t>13</w:t>
      </w:r>
      <w:r>
        <w:rPr>
          <w:rFonts w:ascii="仿宋_GB2312" w:eastAsia="仿宋_GB2312" w:hAnsi="TimesNewRoman" w:cs="仿宋_GB2312" w:hint="eastAsia"/>
          <w:sz w:val="32"/>
          <w:szCs w:val="32"/>
        </w:rPr>
        <w:t>处优质旅游资源推介活动，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白羊峪创建为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3A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级旅游景区，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白羊村列入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2023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年度全省乡村旅游重点村，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广灵柳编、广灵八大碗传统制作技艺列为省级非遗项目，广灵泥塑列为市级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非遗项目，广灵县被列为山西省首批千年古县，县域文旅知名度持续提升，经济带动力不断增强。消费市场恢复加快，</w:t>
      </w:r>
      <w:r>
        <w:rPr>
          <w:rFonts w:ascii="仿宋_GB2312" w:eastAsia="仿宋_GB2312" w:hint="eastAsia"/>
          <w:sz w:val="32"/>
          <w:szCs w:val="32"/>
        </w:rPr>
        <w:t>坚持把恢复和扩大消费摆在优先位置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，全面落实农村寄递物流服务全覆盖，加大“壶泉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e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镇”建设力度，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升级改造乡村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e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镇电商产业培训孵化中心，</w:t>
      </w:r>
      <w:r>
        <w:rPr>
          <w:rFonts w:ascii="仿宋_GB2312" w:eastAsia="仿宋_GB2312" w:hAnsi="仿宋_GB2312" w:cs="仿宋_GB2312" w:hint="eastAsia"/>
          <w:sz w:val="32"/>
          <w:szCs w:val="32"/>
        </w:rPr>
        <w:t>组织参加全国展销会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次，全省电商大赛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次，举办各类电商带货活动</w:t>
      </w:r>
      <w:r>
        <w:rPr>
          <w:rFonts w:ascii="仿宋_GB2312" w:eastAsia="仿宋_GB2312" w:hAnsi="仿宋_GB2312" w:cs="仿宋_GB2312" w:hint="eastAsia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次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发放“消费券”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540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万元，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网络零售额达到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4700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多万元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，净增限额以上批发、零售业、住宿和</w:t>
      </w:r>
      <w:r>
        <w:rPr>
          <w:rFonts w:ascii="仿宋_GB2312" w:eastAsia="仿宋_GB2312" w:hAnsi="仿宋_GB2312" w:cs="仿宋_GB2312" w:hint="eastAsia"/>
          <w:sz w:val="32"/>
          <w:szCs w:val="32"/>
        </w:rPr>
        <w:t>餐饮企业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户。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（三）千方百计增添动能，发展活力竞相迸发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政务服务有效提升。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坚持以企业需求为服务导向，全力打造最优营商环境，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办结各项审批业务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1.14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万件，完成“四级四同”事项精细化梳理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642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项，办理时限压缩至法定时限的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75%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，制作各类证照电子模板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303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个，签发电子证照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14348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个，全程网办“最后一公里”加快打通。高效落实“一件事一次办”“一业一证”改革，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项政务服务事项通过直接赋权、委托下放、帮办代办等方式纳入到乡镇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便民服务中心办理，对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家职能部门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224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项审批事项进行流程再造。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一体化政务服务平台累计办理业务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36026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件，开展政务服务“好差评”</w:t>
      </w:r>
      <w:r>
        <w:rPr>
          <w:rFonts w:ascii="仿宋_GB2312" w:eastAsia="仿宋_GB2312" w:cs="仿宋_GB2312" w:hint="eastAsia"/>
          <w:sz w:val="32"/>
          <w:szCs w:val="32"/>
        </w:rPr>
        <w:t>73912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次，群众满意度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100%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重点改革纵深推进。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户县属全民（集体）所有制“僵尸”企业改制工作基本完成，国有企业现代企业制度初步建立。全面深化医疗卫生一体化改革，“互联网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医疗”服务水平进一步提升。财政投资评审工作扎实开展，国有企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业资金监管工作持续加强。深入开展开发区“三化三制”“承诺制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标准地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全代办”改革，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着力推进实施“政府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+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链主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+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园区”招商改革，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累计为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个项目办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理“承诺制”相关手续，出让工业建设用地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宗，共计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19.29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亩，为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个项目提供领办代办服务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45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件次，项目落地实现了大提速。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创新生态不断优化。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全面落实“保主体、增主体、活主体、强主体”各项措施，</w:t>
      </w:r>
      <w:r>
        <w:rPr>
          <w:rFonts w:ascii="仿宋_GB2312" w:eastAsia="仿宋_GB2312" w:hAnsi="仿宋_GB2312" w:cs="仿宋_GB2312" w:hint="eastAsia"/>
          <w:sz w:val="32"/>
          <w:szCs w:val="22"/>
        </w:rPr>
        <w:t>全县新增各类经营主体</w:t>
      </w:r>
      <w:r>
        <w:rPr>
          <w:rFonts w:ascii="仿宋_GB2312" w:eastAsia="仿宋_GB2312" w:hAnsi="仿宋_GB2312" w:cs="仿宋_GB2312" w:hint="eastAsia"/>
          <w:sz w:val="32"/>
          <w:szCs w:val="22"/>
        </w:rPr>
        <w:t>2740</w:t>
      </w:r>
      <w:r>
        <w:rPr>
          <w:rFonts w:ascii="仿宋_GB2312" w:eastAsia="仿宋_GB2312" w:hAnsi="仿宋_GB2312" w:cs="仿宋_GB2312" w:hint="eastAsia"/>
          <w:sz w:val="32"/>
          <w:szCs w:val="22"/>
        </w:rPr>
        <w:t>户，其中企业新增</w:t>
      </w:r>
      <w:r>
        <w:rPr>
          <w:rFonts w:ascii="仿宋_GB2312" w:eastAsia="仿宋_GB2312" w:hAnsi="仿宋_GB2312" w:cs="仿宋_GB2312" w:hint="eastAsia"/>
          <w:sz w:val="32"/>
          <w:szCs w:val="22"/>
        </w:rPr>
        <w:t>1358</w:t>
      </w:r>
      <w:r>
        <w:rPr>
          <w:rFonts w:ascii="仿宋_GB2312" w:eastAsia="仿宋_GB2312" w:hAnsi="仿宋_GB2312" w:cs="仿宋_GB2312" w:hint="eastAsia"/>
          <w:sz w:val="32"/>
          <w:szCs w:val="22"/>
        </w:rPr>
        <w:t>户，占新增经营主体</w:t>
      </w:r>
      <w:r>
        <w:rPr>
          <w:rFonts w:ascii="仿宋_GB2312" w:eastAsia="仿宋_GB2312" w:hAnsi="仿宋_GB2312" w:cs="仿宋_GB2312" w:hint="eastAsia"/>
          <w:sz w:val="32"/>
          <w:szCs w:val="22"/>
        </w:rPr>
        <w:t>49.56%</w:t>
      </w:r>
      <w:r>
        <w:rPr>
          <w:rFonts w:ascii="仿宋_GB2312" w:eastAsia="仿宋_GB2312" w:hAnsi="仿宋_GB2312" w:cs="仿宋_GB2312" w:hint="eastAsia"/>
          <w:sz w:val="32"/>
          <w:szCs w:val="22"/>
        </w:rPr>
        <w:t>；新增经营主体中涉税主体占比</w:t>
      </w:r>
      <w:r>
        <w:rPr>
          <w:rFonts w:ascii="仿宋_GB2312" w:eastAsia="仿宋_GB2312" w:hAnsi="仿宋_GB2312" w:cs="仿宋_GB2312" w:hint="eastAsia"/>
          <w:sz w:val="32"/>
          <w:szCs w:val="22"/>
        </w:rPr>
        <w:t>64.78%</w:t>
      </w:r>
      <w:r>
        <w:rPr>
          <w:rFonts w:ascii="仿宋_GB2312" w:eastAsia="仿宋_GB2312" w:hAnsi="仿宋_GB2312" w:cs="仿宋_GB2312" w:hint="eastAsia"/>
          <w:sz w:val="32"/>
          <w:szCs w:val="22"/>
        </w:rPr>
        <w:t>；千人拥有企业同比增长</w:t>
      </w:r>
      <w:r>
        <w:rPr>
          <w:rFonts w:ascii="仿宋_GB2312" w:eastAsia="仿宋_GB2312" w:hAnsi="仿宋_GB2312" w:cs="仿宋_GB2312" w:hint="eastAsia"/>
          <w:sz w:val="32"/>
          <w:szCs w:val="22"/>
        </w:rPr>
        <w:t>71.23%</w:t>
      </w:r>
      <w:r>
        <w:rPr>
          <w:rFonts w:ascii="仿宋_GB2312" w:eastAsia="仿宋_GB2312" w:hAnsi="仿宋_GB2312" w:cs="仿宋_GB2312" w:hint="eastAsia"/>
          <w:sz w:val="32"/>
          <w:szCs w:val="2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围绕企业的数量、体量、质量，梯次推进“个转企、小升规、规改股、股上市”，全年净增“小升规”企业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户，“专精特新”企业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户，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创新型企业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4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户、高新技术企业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2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户，“晋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兴板”挂牌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2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  <w:lang/>
        </w:rPr>
        <w:t>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招商引资持续升温。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以打造东向对接“京津冀雄”重要枢纽门户为目标，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精准绘制“招商地图”，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整合政府、经开区招商引资力量，积极赴北京、雄安新区、天津等地，持续开展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靶向招商、以商招商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。组织参加大同融入京津冀专场招商推介会等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场，县级领导带头“走出去”招商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次，对接企业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125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家，促成企业回访洽谈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68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签约项目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签约金额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96.7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开工项目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个，完成投资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14.6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亿元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（四）统筹协调促融合，城乡品质持续提升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城市功能更加健全。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牢固树立“经营城市”理念，加快西关片区拆迁腾退土地开发，编制完成了《老城区控制性详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细规划》。启动实施了南环路、全民健身中心等一批老城提质改造项目；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体育馆、游泳馆、公安消防大队一级消防站等投入使用，殡仪馆项目主体完工。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依托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万亩生态湿地，实施了湿地公园步行道改造、环下河湾景观路建设等景观项目；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盛世文苑、龙湖大院商、宜澜庭、四季花园等商住小区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加快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建设，积极实施老旧小区改造工程，对</w:t>
      </w:r>
      <w:r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个小区</w:t>
      </w:r>
      <w:r>
        <w:rPr>
          <w:rFonts w:ascii="仿宋_GB2312" w:eastAsia="仿宋_GB2312" w:hAnsi="仿宋_GB2312" w:cs="仿宋_GB2312" w:hint="eastAsia"/>
          <w:sz w:val="32"/>
          <w:szCs w:val="32"/>
        </w:rPr>
        <w:t>43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栋单体住宅楼实施了外保温改建工程，不断完善市政设施，实施县城排洪渠清淤工作，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县城肌理进一步丰富，功能服务、休闲环境、交通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条件得到极大改善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基础设施不断完善。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完善道路交通设施，国道</w:t>
      </w:r>
      <w:r>
        <w:rPr>
          <w:rFonts w:ascii="仿宋_GB2312" w:eastAsia="仿宋_GB2312" w:hAnsi="仿宋_GB2312" w:cs="仿宋_GB2312" w:hint="eastAsia"/>
          <w:sz w:val="32"/>
          <w:szCs w:val="32"/>
        </w:rPr>
        <w:t>239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线广灵县城西崖头至沙岭段改线工程</w:t>
      </w:r>
      <w:r>
        <w:rPr>
          <w:rFonts w:ascii="仿宋_GB2312" w:eastAsia="仿宋_GB2312" w:hAnsi="仿宋_GB2312" w:cs="仿宋_GB2312" w:hint="eastAsia"/>
          <w:sz w:val="32"/>
          <w:szCs w:val="32"/>
        </w:rPr>
        <w:t>已建成通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车。“四好农村路”建设稳步推进，贺窑至益民养殖园区、张庄至文兴产业路项目，北岳庄至三间房段农村公路改造项目，木厂至白石山旅游公路等项目均已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。枕头河水库除险加固、石门峪重点小流域治理项目等一批水利项目均已完工，大同市水神堂、城头会泉域水源置换工程启动实施，制约广灵多年的水资源问题即将得到彻底解决。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乡村振兴有序推进。</w:t>
      </w:r>
      <w:r>
        <w:rPr>
          <w:rFonts w:ascii="仿宋_GB2312" w:eastAsia="仿宋_GB2312" w:hAnsi="仿宋_GB2312" w:cs="仿宋_GB2312" w:hint="eastAsia"/>
          <w:sz w:val="32"/>
          <w:szCs w:val="32"/>
        </w:rPr>
        <w:t>抓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动态监测和精准帮扶，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多轮次开展全覆盖集中排查，全县监测率、风险消除率分别达到</w:t>
      </w:r>
      <w:r>
        <w:rPr>
          <w:rFonts w:ascii="仿宋_GB2312" w:eastAsia="仿宋_GB2312" w:hAnsi="仿宋_GB2312" w:cs="仿宋_GB2312" w:hint="eastAsia"/>
          <w:sz w:val="32"/>
          <w:szCs w:val="32"/>
        </w:rPr>
        <w:t>8.38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38.7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。抓“两不愁三保障”，资助困难家庭学生</w:t>
      </w:r>
      <w:r>
        <w:rPr>
          <w:rFonts w:ascii="仿宋_GB2312" w:eastAsia="仿宋_GB2312" w:hAnsi="仿宋_GB2312" w:cs="仿宋_GB2312" w:hint="eastAsia"/>
          <w:sz w:val="32"/>
          <w:szCs w:val="32"/>
        </w:rPr>
        <w:t>1.65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万人次，发放“雨露计划”资金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376.2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万元；家庭医生签约服务“应签尽签”、重点人群应保尽保、慢病保障应纳尽纳；新改造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C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D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级危旧房屋</w:t>
      </w:r>
      <w:r>
        <w:rPr>
          <w:rFonts w:ascii="仿宋_GB2312" w:eastAsia="仿宋_GB2312" w:hAnsi="仿宋_GB2312" w:cs="仿宋_GB2312" w:hint="eastAsia"/>
          <w:sz w:val="32"/>
          <w:szCs w:val="32"/>
        </w:rPr>
        <w:t>364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户，住房安全“不漏一宅一人”；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投入</w:t>
      </w:r>
      <w:r>
        <w:rPr>
          <w:rFonts w:ascii="仿宋_GB2312" w:eastAsia="仿宋_GB2312" w:hAnsi="仿宋_GB2312" w:cs="仿宋_GB2312" w:hint="eastAsia"/>
          <w:sz w:val="32"/>
          <w:szCs w:val="32"/>
        </w:rPr>
        <w:t>2554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万元，实施了覆盖</w:t>
      </w:r>
      <w:r>
        <w:rPr>
          <w:rFonts w:ascii="仿宋_GB2312" w:eastAsia="仿宋_GB2312" w:hAnsi="仿宋_GB2312" w:cs="仿宋_GB2312" w:hint="eastAsia"/>
          <w:sz w:val="32"/>
          <w:szCs w:val="32"/>
        </w:rPr>
        <w:t>80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个村、惠及</w:t>
      </w:r>
      <w:r>
        <w:rPr>
          <w:rFonts w:ascii="仿宋_GB2312" w:eastAsia="仿宋_GB2312" w:hAnsi="仿宋_GB2312" w:cs="仿宋_GB2312" w:hint="eastAsia"/>
          <w:sz w:val="32"/>
          <w:szCs w:val="32"/>
        </w:rPr>
        <w:t>6.08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万人的农村供水保障工程，全县总体水质、水量达标率动态保持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100%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。抓产业发展和就业帮扶，投入</w:t>
      </w:r>
      <w:r>
        <w:rPr>
          <w:rFonts w:ascii="仿宋_GB2312" w:eastAsia="仿宋_GB2312" w:hAnsi="仿宋_GB2312" w:cs="仿宋_GB2312" w:hint="eastAsia"/>
          <w:sz w:val="32"/>
          <w:szCs w:val="32"/>
        </w:rPr>
        <w:t>1.43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亿元衔接资金用于发展产业，撬动投资</w:t>
      </w:r>
      <w:r>
        <w:rPr>
          <w:rFonts w:ascii="仿宋_GB2312" w:eastAsia="仿宋_GB2312" w:hAnsi="仿宋_GB2312" w:cs="仿宋_GB2312" w:hint="eastAsia"/>
          <w:sz w:val="32"/>
          <w:szCs w:val="32"/>
        </w:rPr>
        <w:t>8200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万元，</w:t>
      </w:r>
      <w:r>
        <w:rPr>
          <w:rFonts w:ascii="仿宋_GB2312" w:eastAsia="仿宋_GB2312" w:hAnsi="仿宋_GB2312" w:cs="仿宋_GB2312" w:hint="eastAsia"/>
          <w:sz w:val="32"/>
          <w:szCs w:val="32"/>
        </w:rPr>
        <w:t>实施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蔬菜西甜瓜大棚、金顶光伏、箱包制作基地等产业项目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，脱贫人口人均纯收入增速达到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11.6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。抓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人居环境优化，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编制“多规合一”村庄规划</w:t>
      </w:r>
      <w:r>
        <w:rPr>
          <w:rFonts w:ascii="仿宋_GB2312" w:eastAsia="仿宋_GB2312" w:hAnsi="仿宋_GB2312" w:cs="仿宋_GB2312" w:hint="eastAsia"/>
          <w:sz w:val="32"/>
          <w:szCs w:val="32"/>
        </w:rPr>
        <w:t>32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个，</w:t>
      </w:r>
      <w:r>
        <w:rPr>
          <w:rFonts w:ascii="仿宋_GB2312" w:eastAsia="仿宋_GB2312" w:hAnsi="仿宋_GB2312" w:cs="仿宋_GB2312" w:hint="eastAsia"/>
          <w:sz w:val="32"/>
          <w:szCs w:val="32"/>
        </w:rPr>
        <w:t>88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个村庄规划应编尽编，实施了南村生活污水处理及配套管网建设工程，完成户厕改造</w:t>
      </w:r>
      <w:r>
        <w:rPr>
          <w:rFonts w:ascii="仿宋_GB2312" w:eastAsia="仿宋_GB2312" w:hAnsi="仿宋_GB2312" w:cs="仿宋_GB2312" w:hint="eastAsia"/>
          <w:sz w:val="32"/>
          <w:szCs w:val="32"/>
        </w:rPr>
        <w:t>4814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座，人居环境改善由“渐入人心”向“深入人心”转变。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（五）用心用情惠民生，群众生活更加幸福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社会事业加快发展。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坚持以民为本，省市县民生实事全部办结。</w:t>
      </w:r>
      <w:r>
        <w:rPr>
          <w:rFonts w:ascii="仿宋_GB2312" w:eastAsia="仿宋_GB2312" w:hAnsi="仿宋_GB2312" w:cs="仿宋_GB2312" w:hint="eastAsia"/>
          <w:sz w:val="32"/>
          <w:szCs w:val="32"/>
        </w:rPr>
        <w:t>持续推进基础教育学校优化布局建设，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撤并小规模学</w:t>
      </w:r>
      <w:r>
        <w:rPr>
          <w:rFonts w:ascii="仿宋_GB2312" w:eastAsia="仿宋_GB2312" w:hAnsi="仿宋_GB2312" w:cs="仿宋_GB2312" w:hint="eastAsia"/>
          <w:sz w:val="32"/>
          <w:szCs w:val="32"/>
        </w:rPr>
        <w:t>校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所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启动实施了</w:t>
      </w:r>
      <w:r>
        <w:rPr>
          <w:rFonts w:ascii="仿宋_GB2312" w:eastAsia="仿宋_GB2312" w:hAnsi="仿宋_GB2312" w:cs="仿宋_GB2312" w:hint="eastAsia"/>
          <w:sz w:val="32"/>
          <w:szCs w:val="32"/>
        </w:rPr>
        <w:t>华电希望小学扩建项目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、新城新建初中项目等工程，新招聘教师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101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名，全县教育教学成绩不断提升，一、二本达线率分别为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34.4%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73.4%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，清北专项生录取率持续蝉联全省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36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个贫困县榜首。扎实推进乡村医疗卫生体系建设，疾控中心业务用房项目完工，人民医院改扩建项目启动实施，创建三星级卫生室</w:t>
      </w:r>
      <w:r>
        <w:rPr>
          <w:rFonts w:ascii="仿宋_GB2312" w:eastAsia="仿宋_GB2312" w:hAnsi="仿宋_GB2312" w:cs="仿宋_GB2312" w:hint="eastAsia"/>
          <w:sz w:val="32"/>
          <w:szCs w:val="32"/>
        </w:rPr>
        <w:t>37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个、四星级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个、五星级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个，县医院成功列入中国人民解放军总医院（北京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301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医院）远程医学中心站点医院。深入推进文化惠民工程，开展系列群众文化活动，数字文化馆、移动图书馆实现上线，举办群众文化活动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场、“免费送戏下乡”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129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场，公共文化服务水平不断提升。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lastRenderedPageBreak/>
        <w:t>社会保障更加健全。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坚持就业优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先，积极搭建“零工市场”“零工驿站”等平台，开展“春风行动”“民营企业服务月”“百业千万招聘专项行动”“金秋招聘月”等各类线上线下专项招聘活动</w:t>
      </w:r>
      <w:r>
        <w:rPr>
          <w:rFonts w:ascii="仿宋_GB2312" w:eastAsia="仿宋_GB2312" w:hAnsi="仿宋_GB2312" w:cs="仿宋_GB2312" w:hint="eastAsia"/>
          <w:sz w:val="32"/>
          <w:szCs w:val="32"/>
        </w:rPr>
        <w:t>89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场次，提供岗位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5800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多个，</w:t>
      </w:r>
      <w:r>
        <w:rPr>
          <w:rFonts w:ascii="仿宋_GB2312" w:eastAsia="仿宋_GB2312" w:hAnsi="仿宋_GB2312" w:cs="仿宋_GB2312" w:hint="eastAsia"/>
          <w:sz w:val="32"/>
          <w:szCs w:val="32"/>
        </w:rPr>
        <w:t>完成职业技能培训</w:t>
      </w:r>
      <w:r>
        <w:rPr>
          <w:rFonts w:ascii="仿宋_GB2312" w:eastAsia="仿宋_GB2312" w:hAnsi="仿宋_GB2312" w:cs="仿宋_GB2312" w:hint="eastAsia"/>
          <w:sz w:val="32"/>
          <w:szCs w:val="32"/>
        </w:rPr>
        <w:t>2532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人，城镇新增就业人数</w:t>
      </w:r>
      <w:r>
        <w:rPr>
          <w:rFonts w:ascii="仿宋_GB2312" w:eastAsia="仿宋_GB2312" w:hAnsi="仿宋_GB2312" w:cs="仿宋_GB2312" w:hint="eastAsia"/>
          <w:sz w:val="32"/>
          <w:szCs w:val="32"/>
        </w:rPr>
        <w:t>4642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人，失业人员再就业</w:t>
      </w:r>
      <w:r>
        <w:rPr>
          <w:rFonts w:ascii="仿宋_GB2312" w:eastAsia="仿宋_GB2312" w:hAnsi="仿宋_GB2312" w:cs="仿宋_GB2312" w:hint="eastAsia"/>
          <w:sz w:val="32"/>
          <w:szCs w:val="32"/>
        </w:rPr>
        <w:t>2973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人，就业困难人员实现就业</w:t>
      </w:r>
      <w:r>
        <w:rPr>
          <w:rFonts w:ascii="仿宋_GB2312" w:eastAsia="仿宋_GB2312" w:hAnsi="仿宋_GB2312" w:cs="仿宋_GB2312" w:hint="eastAsia"/>
          <w:sz w:val="32"/>
          <w:szCs w:val="32"/>
        </w:rPr>
        <w:t>411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人，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全县累计输出就业</w:t>
      </w:r>
      <w:r>
        <w:rPr>
          <w:rFonts w:ascii="仿宋_GB2312" w:eastAsia="仿宋_GB2312" w:hAnsi="仿宋_GB2312" w:cs="仿宋_GB2312" w:hint="eastAsia"/>
          <w:sz w:val="32"/>
          <w:szCs w:val="32"/>
        </w:rPr>
        <w:t>2.89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万人。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健全住房保障制度，廉租房补贴实行应保尽保，发放住房租赁补贴</w:t>
      </w:r>
      <w:r>
        <w:rPr>
          <w:rFonts w:ascii="仿宋_GB2312" w:eastAsia="仿宋_GB2312" w:hAnsi="仿宋_GB2312" w:cs="仿宋_GB2312" w:hint="eastAsia"/>
          <w:sz w:val="32"/>
          <w:szCs w:val="32"/>
        </w:rPr>
        <w:t>2284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户</w:t>
      </w:r>
      <w:r>
        <w:rPr>
          <w:rFonts w:ascii="仿宋_GB2312" w:eastAsia="仿宋_GB2312" w:hAnsi="仿宋_GB2312" w:cs="仿宋_GB2312" w:hint="eastAsia"/>
          <w:sz w:val="32"/>
          <w:szCs w:val="32"/>
        </w:rPr>
        <w:t>527.59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万元。更加注重退役军人服务保障，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名转业士官人全部安置，为</w:t>
      </w:r>
      <w:r>
        <w:rPr>
          <w:rFonts w:ascii="仿宋_GB2312" w:eastAsia="仿宋_GB2312" w:hAnsi="仿宋_GB2312" w:cs="仿宋_GB2312" w:hint="eastAsia"/>
          <w:sz w:val="32"/>
          <w:szCs w:val="32"/>
        </w:rPr>
        <w:t>1100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余优抚对象发放生活补助</w:t>
      </w:r>
      <w:r>
        <w:rPr>
          <w:rFonts w:ascii="仿宋_GB2312" w:eastAsia="仿宋_GB2312" w:hAnsi="仿宋_GB2312" w:cs="仿宋_GB2312" w:hint="eastAsia"/>
          <w:sz w:val="32"/>
          <w:szCs w:val="32"/>
        </w:rPr>
        <w:t>760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万元。坚持弱有所扶，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城市低保提高至</w:t>
      </w:r>
      <w:r>
        <w:rPr>
          <w:rFonts w:ascii="仿宋_GB2312" w:eastAsia="仿宋_GB2312" w:hAnsi="仿宋_GB2312" w:cs="仿宋_GB2312" w:hint="eastAsia"/>
          <w:sz w:val="32"/>
          <w:szCs w:val="32"/>
        </w:rPr>
        <w:t>560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人、农村低保提高至</w:t>
      </w:r>
      <w:r>
        <w:rPr>
          <w:rFonts w:ascii="仿宋_GB2312" w:eastAsia="仿宋_GB2312" w:hAnsi="仿宋_GB2312" w:cs="仿宋_GB2312" w:hint="eastAsia"/>
          <w:sz w:val="32"/>
          <w:szCs w:val="32"/>
        </w:rPr>
        <w:t>6120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人，全年累计发放低保、临时救助等资金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1.49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亿元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全民参保稳步扩面，全县城乡居民医保参保</w:t>
      </w:r>
      <w:r>
        <w:rPr>
          <w:rFonts w:ascii="仿宋_GB2312" w:eastAsia="仿宋_GB2312" w:hAnsi="仿宋_GB2312" w:cs="仿宋_GB2312" w:hint="eastAsia"/>
          <w:sz w:val="32"/>
          <w:szCs w:val="32"/>
        </w:rPr>
        <w:t>135226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人，城乡居民养老保险参保</w:t>
      </w:r>
      <w:r>
        <w:rPr>
          <w:rFonts w:ascii="仿宋_GB2312" w:eastAsia="仿宋_GB2312" w:hAnsi="仿宋_GB2312" w:cs="仿宋_GB2312" w:hint="eastAsia"/>
          <w:sz w:val="32"/>
          <w:szCs w:val="32"/>
        </w:rPr>
        <w:t>101818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人，工伤保险参保</w:t>
      </w:r>
      <w:r>
        <w:rPr>
          <w:rFonts w:ascii="仿宋_GB2312" w:eastAsia="仿宋_GB2312" w:hAnsi="仿宋_GB2312" w:cs="仿宋_GB2312" w:hint="eastAsia"/>
          <w:sz w:val="32"/>
          <w:szCs w:val="32"/>
        </w:rPr>
        <w:t>9046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人，失业保险参保</w:t>
      </w:r>
      <w:r>
        <w:rPr>
          <w:rFonts w:ascii="仿宋_GB2312" w:eastAsia="仿宋_GB2312" w:hAnsi="仿宋_GB2312" w:cs="仿宋_GB2312" w:hint="eastAsia"/>
          <w:sz w:val="32"/>
          <w:szCs w:val="32"/>
        </w:rPr>
        <w:t>9160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社会大局安全稳定。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大力推进矛盾纠纷排查化解，集中开展“矛盾纠纷大起底大排查行动”，持续畅通信访、</w:t>
      </w:r>
      <w:r>
        <w:rPr>
          <w:rFonts w:ascii="仿宋_GB2312" w:eastAsia="仿宋_GB2312" w:hAnsi="仿宋_GB2312" w:cs="仿宋_GB2312" w:hint="eastAsia"/>
          <w:sz w:val="32"/>
          <w:szCs w:val="32"/>
        </w:rPr>
        <w:t>12345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政务热线、社情民意等诉求渠道，信访事项及时受理率、按期办结率、群众参评率、群众满意率和一次性化解率均为</w:t>
      </w:r>
      <w:r>
        <w:rPr>
          <w:rFonts w:ascii="仿宋_GB2312" w:eastAsia="仿宋_GB2312" w:hAnsi="仿宋_GB2312" w:cs="仿宋_GB2312" w:hint="eastAsia"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3618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件便民事项“接诉即办”，全县信访形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势平稳可控，信访综合指标位列全省第一。持续巩固扫黑除恶斗争成果，重拳打击电信诈骗、养老诈骗以及“盗抢骗”，</w:t>
      </w:r>
      <w:r>
        <w:rPr>
          <w:rFonts w:ascii="仿宋_GB2312" w:eastAsia="仿宋_GB2312" w:hAnsi="仿宋_GB2312" w:cs="仿宋_GB2312" w:hint="eastAsia"/>
          <w:sz w:val="32"/>
          <w:szCs w:val="32"/>
        </w:rPr>
        <w:t>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年共立案</w:t>
      </w:r>
      <w:r>
        <w:rPr>
          <w:rFonts w:ascii="仿宋_GB2312" w:eastAsia="仿宋_GB2312" w:hAnsi="仿宋_GB2312" w:cs="仿宋_GB2312" w:hint="eastAsia"/>
          <w:sz w:val="32"/>
          <w:szCs w:val="32"/>
        </w:rPr>
        <w:t>158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起、破获</w:t>
      </w:r>
      <w:r>
        <w:rPr>
          <w:rFonts w:ascii="仿宋_GB2312" w:eastAsia="仿宋_GB2312" w:hAnsi="仿宋_GB2312" w:cs="仿宋_GB2312" w:hint="eastAsia"/>
          <w:sz w:val="32"/>
          <w:szCs w:val="32"/>
        </w:rPr>
        <w:t>141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起、抓获犯罪嫌疑人</w:t>
      </w:r>
      <w:r>
        <w:rPr>
          <w:rFonts w:ascii="仿宋_GB2312" w:eastAsia="仿宋_GB2312" w:hAnsi="仿宋_GB2312" w:cs="仿宋_GB2312" w:hint="eastAsia"/>
          <w:sz w:val="32"/>
          <w:szCs w:val="32"/>
        </w:rPr>
        <w:t>171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人，挽回直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接经济损失</w:t>
      </w:r>
      <w:r>
        <w:rPr>
          <w:rFonts w:ascii="仿宋_GB2312" w:eastAsia="仿宋_GB2312" w:hAnsi="仿宋_GB2312" w:cs="仿宋_GB2312" w:hint="eastAsia"/>
          <w:sz w:val="32"/>
          <w:szCs w:val="32"/>
        </w:rPr>
        <w:t>300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万元。深入推进安全生产大提升、重大事故隐患专项排查行动，扎实开展自建房、道路交通、城乡消防、城镇燃气、森林防灭火等领域专项整治，安全生产总体平稳。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（六）坚定践行两山理念，生态优势巩固提升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提标减排保蓝天。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方位开展大气环境空气质量再提升工作，印发《广灵县大气环境突出问题专项整治百日攻坚执法行动方案》《广灵县“控硫治污”攻坚行动实施方案》，全面推进工业废气治理、扬尘污染控制、移动源污染整治、秸秆禁烧等专项行动，全方位、全天候开展大气环境治理，实现细颗粒物与臭氧“双控双减”。全年县城空气质量二级以上天数为</w:t>
      </w:r>
      <w:r>
        <w:rPr>
          <w:rFonts w:ascii="仿宋_GB2312" w:eastAsia="仿宋_GB2312" w:hAnsi="仿宋_GB2312" w:cs="仿宋_GB2312" w:hint="eastAsia"/>
          <w:sz w:val="32"/>
          <w:szCs w:val="32"/>
        </w:rPr>
        <w:t>315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天，优良天数比例为</w:t>
      </w:r>
      <w:r>
        <w:rPr>
          <w:rFonts w:ascii="仿宋_GB2312" w:eastAsia="仿宋_GB2312" w:hAnsi="仿宋_GB2312" w:cs="仿宋_GB2312" w:hint="eastAsia"/>
          <w:sz w:val="32"/>
          <w:szCs w:val="32"/>
        </w:rPr>
        <w:t>86.3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PM2.5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平均浓度为</w:t>
      </w:r>
      <w:r>
        <w:rPr>
          <w:rFonts w:ascii="仿宋_GB2312" w:eastAsia="仿宋_GB2312" w:hAnsi="仿宋_GB2312" w:cs="仿宋_GB2312" w:hint="eastAsia"/>
          <w:sz w:val="32"/>
          <w:szCs w:val="32"/>
        </w:rPr>
        <w:t>23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微克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立方米。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治污控源净水源。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细化河长制工作和责任清单，制定《广灵县水环境质量再提升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年行动计划》《广灵县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年度汛期水环境管控工作方案》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推动县城污水处理厂尾水人工湿地净化及利用工程项目，重点开展年度县城集中式饮用水水源环境状况调查评估、广灵县城西水源地及各乡镇水源地水质监测工作，确保水源地水质安全无污染。壶流河水神堂泉（国考断面）水质达地表水Ⅱ类水质标准，县城西水源地及各乡镇水源地水质均达到地下水Ⅲ类标准，水质达标率</w:t>
      </w:r>
      <w:r>
        <w:rPr>
          <w:rFonts w:ascii="仿宋_GB2312" w:eastAsia="仿宋_GB2312" w:hAnsi="仿宋_GB2312" w:cs="仿宋_GB2312" w:hint="eastAsia"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清废治污守净土。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制定《广灵县土壤污染防治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年行动计划》《地下水污染防治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年行动计划》，深入打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好净土保卫战，依据我县存在耕地土壤污染防治情况，开展耕地土壤重金属污染成因排查工作。强化对土壤污染重点单位监管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，按照《环境监管重点单位名录办法》动态更新土壤污染重点监管单位名录。大规模推进国土绿化行动，实施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环京津冀生态安全屏障建设项目，完成人工造林</w:t>
      </w:r>
      <w:r>
        <w:rPr>
          <w:rFonts w:ascii="仿宋_GB2312" w:eastAsia="仿宋_GB2312" w:hAnsi="仿宋_GB2312" w:cs="仿宋_GB2312" w:hint="eastAsia"/>
          <w:sz w:val="32"/>
          <w:szCs w:val="32"/>
        </w:rPr>
        <w:t>1.5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万亩、封山育林</w:t>
      </w:r>
      <w:r>
        <w:rPr>
          <w:rFonts w:ascii="仿宋_GB2312" w:eastAsia="仿宋_GB2312" w:hAnsi="仿宋_GB2312" w:cs="仿宋_GB2312" w:hint="eastAsia"/>
          <w:sz w:val="32"/>
          <w:szCs w:val="32"/>
        </w:rPr>
        <w:t>3.2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万亩；实施退化草地修复治理</w:t>
      </w:r>
      <w:r>
        <w:rPr>
          <w:rFonts w:ascii="仿宋_GB2312" w:eastAsia="仿宋_GB2312" w:hAnsi="仿宋_GB2312" w:cs="仿宋_GB2312" w:hint="eastAsia"/>
          <w:sz w:val="32"/>
          <w:szCs w:val="32"/>
        </w:rPr>
        <w:t>0.3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万亩，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全力打造护卫京津冀绿色生态屏障之“域美广灵”。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在看到成绩的同时，我们也要清醒地看到当前经济社会发展面临的突出问题和困难挑战：产业发展质量有待提高，农业产业化经营水平较低，精深加工型、高附加值型、高科技含量型龙头企业偏少；规上工业企业门类少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产品结构单一、创新驱动力不足；旅游产业缺乏联动，文化资源在旅游中融合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不够；财政收支矛盾十分突出，招商引资效能不足，社会民生有待进一步加强等。尽管面临较多困难挑战，但全国经济恢复回升、长期向好的基本面没有变，我们将坚定信心、明确方向、锚定目标，紧盯增动能、促发展、强经济，全力以赴做好稳增长、争资金、抓项目各项工作，确保全县经济持续恢复、稳步提升。</w:t>
      </w:r>
    </w:p>
    <w:p w:rsidR="00FC0A19" w:rsidRDefault="003826EE">
      <w:pPr>
        <w:spacing w:line="60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二、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2024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年经济社会发展的预期目标和主要任务</w:t>
      </w:r>
    </w:p>
    <w:p w:rsidR="00FC0A19" w:rsidRDefault="003826EE">
      <w:pPr>
        <w:pStyle w:val="a6"/>
        <w:spacing w:line="600" w:lineRule="exact"/>
        <w:ind w:leftChars="0" w:left="0" w:firstLine="640"/>
        <w:rPr>
          <w:rFonts w:ascii="仿宋_GB2312" w:eastAsia="仿宋_GB2312" w:cs="黑体"/>
          <w:color w:val="000000"/>
          <w:sz w:val="32"/>
          <w:szCs w:val="32"/>
        </w:rPr>
      </w:pPr>
      <w:r>
        <w:rPr>
          <w:rFonts w:ascii="仿宋_GB2312" w:eastAsia="仿宋_GB2312" w:cs="黑体" w:hint="eastAsia"/>
          <w:color w:val="000000"/>
          <w:sz w:val="32"/>
          <w:szCs w:val="32"/>
        </w:rPr>
        <w:t>2024</w:t>
      </w:r>
      <w:r>
        <w:rPr>
          <w:rFonts w:ascii="仿宋_GB2312" w:eastAsia="仿宋_GB2312" w:cs="黑体" w:hint="eastAsia"/>
          <w:color w:val="000000"/>
          <w:sz w:val="32"/>
          <w:szCs w:val="32"/>
        </w:rPr>
        <w:t>年是中华人民共和国成立</w:t>
      </w:r>
      <w:r>
        <w:rPr>
          <w:rFonts w:ascii="仿宋_GB2312" w:eastAsia="仿宋_GB2312" w:cs="黑体" w:hint="eastAsia"/>
          <w:color w:val="000000"/>
          <w:sz w:val="32"/>
          <w:szCs w:val="32"/>
        </w:rPr>
        <w:t>75</w:t>
      </w:r>
      <w:r>
        <w:rPr>
          <w:rFonts w:ascii="仿宋_GB2312" w:eastAsia="仿宋_GB2312" w:cs="黑体" w:hint="eastAsia"/>
          <w:color w:val="000000"/>
          <w:sz w:val="32"/>
          <w:szCs w:val="32"/>
        </w:rPr>
        <w:t>周年，是实施“十四五”规划的关键一年，做好经济社会发展工作意义十分重大。今年工作的总要求是：</w:t>
      </w:r>
      <w:r w:rsidR="006E135E">
        <w:rPr>
          <w:rFonts w:ascii="黑体" w:eastAsia="黑体" w:hAnsi="黑体" w:cs="黑体" w:hint="eastAsia"/>
          <w:kern w:val="0"/>
          <w:sz w:val="32"/>
          <w:szCs w:val="32"/>
        </w:rPr>
        <w:t>以习近平新时代中国特色社会主义思想为指导，全面贯彻落实党的二十大和二十届二中全会精神，</w:t>
      </w:r>
      <w:r w:rsidR="006E135E"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深入学习贯彻习近平总书记对山西工作的重要讲话重要指示精神，按照中央和省委、市委、县委经济工作会议决策部署，聚焦全市转型“四步走”战略目标和“融入京津冀、打造桥头堡”重大战略，围绕县委“12345”总体思路，紧扣建设“宜居宜学宜业、县强民富域美”现代化新广灵的战略目标，坚持稳中求进工作总基调，完整、准确、全面贯彻新发展理念，主动服务和融入新发展格局，着力推动产业转型升级，纵深推进乡村振兴，加快项目建设步伐，全面深化改革开放，持续深化城乡融合，着力涵养绿色生态、改善民生福祉、防范化解风险，持续推动经济实现质的有效提升和量的合理增长，奋力谱写中国式现代化广灵篇章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按照这一要求，围绕继续保持全市第一方阵这一目标，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年全县经济社会发展主要预期目标为：</w:t>
      </w:r>
      <w:r>
        <w:rPr>
          <w:rFonts w:ascii="仿宋_GB2312" w:eastAsia="仿宋_GB2312" w:hAnsi="仿宋_GB2312" w:cs="仿宋_GB2312" w:hint="eastAsia"/>
          <w:sz w:val="32"/>
          <w:szCs w:val="32"/>
        </w:rPr>
        <w:t>地区生产总值增长</w:t>
      </w:r>
      <w:r>
        <w:rPr>
          <w:rFonts w:ascii="仿宋_GB2312" w:eastAsia="仿宋_GB2312" w:hAnsi="仿宋_GB2312" w:cs="仿宋_GB2312" w:hint="eastAsia"/>
          <w:sz w:val="32"/>
          <w:szCs w:val="32"/>
        </w:rPr>
        <w:t>6%</w:t>
      </w:r>
      <w:r>
        <w:rPr>
          <w:rFonts w:ascii="仿宋_GB2312" w:eastAsia="仿宋_GB2312" w:hAnsi="仿宋_GB2312" w:cs="仿宋_GB2312" w:hint="eastAsia"/>
          <w:sz w:val="32"/>
          <w:szCs w:val="32"/>
        </w:rPr>
        <w:t>；固定资产投资增长</w:t>
      </w:r>
      <w:r>
        <w:rPr>
          <w:rFonts w:ascii="仿宋_GB2312" w:eastAsia="仿宋_GB2312" w:hAnsi="仿宋_GB2312" w:cs="仿宋_GB2312" w:hint="eastAsia"/>
          <w:sz w:val="32"/>
          <w:szCs w:val="32"/>
        </w:rPr>
        <w:t>12%</w:t>
      </w:r>
      <w:r>
        <w:rPr>
          <w:rFonts w:ascii="仿宋_GB2312" w:eastAsia="仿宋_GB2312" w:hAnsi="仿宋_GB2312" w:cs="仿宋_GB2312" w:hint="eastAsia"/>
          <w:sz w:val="32"/>
          <w:szCs w:val="32"/>
        </w:rPr>
        <w:t>；社会消费品零售总额增长</w:t>
      </w:r>
      <w:r>
        <w:rPr>
          <w:rFonts w:ascii="仿宋_GB2312" w:eastAsia="仿宋_GB2312" w:hAnsi="仿宋_GB2312" w:cs="仿宋_GB2312" w:hint="eastAsia"/>
          <w:sz w:val="32"/>
          <w:szCs w:val="32"/>
        </w:rPr>
        <w:t>6%</w:t>
      </w:r>
      <w:r>
        <w:rPr>
          <w:rFonts w:ascii="仿宋_GB2312" w:eastAsia="仿宋_GB2312" w:hAnsi="仿宋_GB2312" w:cs="仿宋_GB2312" w:hint="eastAsia"/>
          <w:sz w:val="32"/>
          <w:szCs w:val="32"/>
        </w:rPr>
        <w:t>；一般公共预算收入增长</w:t>
      </w:r>
      <w:r>
        <w:rPr>
          <w:rFonts w:ascii="仿宋_GB2312" w:eastAsia="仿宋_GB2312" w:hAnsi="仿宋_GB2312" w:cs="仿宋_GB2312" w:hint="eastAsia"/>
          <w:sz w:val="32"/>
          <w:szCs w:val="32"/>
        </w:rPr>
        <w:t>3.3%</w:t>
      </w:r>
      <w:r>
        <w:rPr>
          <w:rFonts w:ascii="仿宋_GB2312" w:eastAsia="仿宋_GB2312" w:hAnsi="仿宋_GB2312" w:cs="仿宋_GB2312" w:hint="eastAsia"/>
          <w:sz w:val="32"/>
          <w:szCs w:val="32"/>
        </w:rPr>
        <w:t>；规上工业增加值增长</w:t>
      </w:r>
      <w:r>
        <w:rPr>
          <w:rFonts w:ascii="仿宋_GB2312" w:eastAsia="仿宋_GB2312" w:hAnsi="仿宋_GB2312" w:cs="仿宋_GB2312" w:hint="eastAsia"/>
          <w:sz w:val="32"/>
          <w:szCs w:val="32"/>
        </w:rPr>
        <w:t>7%</w:t>
      </w:r>
      <w:r>
        <w:rPr>
          <w:rFonts w:ascii="仿宋_GB2312" w:eastAsia="仿宋_GB2312" w:hAnsi="仿宋_GB2312" w:cs="仿宋_GB2312" w:hint="eastAsia"/>
          <w:sz w:val="32"/>
          <w:szCs w:val="32"/>
        </w:rPr>
        <w:t>以上；城镇居民人均可支配收入与经济增长保持同步；农村居民人均可支配收入高于经济增长水平。高质量发展考核指标、约束性指标和专项考核指标不折不扣完成省、市下达</w:t>
      </w:r>
      <w:r>
        <w:rPr>
          <w:rFonts w:ascii="仿宋_GB2312" w:eastAsia="仿宋_GB2312" w:hAnsi="仿宋_GB2312" w:cs="仿宋_GB2312" w:hint="eastAsia"/>
          <w:sz w:val="32"/>
          <w:szCs w:val="32"/>
        </w:rPr>
        <w:t>任务。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bCs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为顺利实现上述目标，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年应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重点抓好以下九个方面工作：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（一）加快产业升级，强化经济增长支撑</w:t>
      </w:r>
    </w:p>
    <w:p w:rsidR="00FC0A19" w:rsidRDefault="003826EE">
      <w:pPr>
        <w:spacing w:line="600" w:lineRule="exact"/>
        <w:ind w:firstLineChars="200" w:firstLine="643"/>
        <w:rPr>
          <w:rFonts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大力发展循环经济产业。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以可再生资源开发和废弃物综合利用为核心，在加快发展再生金属产业的基础上，加快大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宗固废、垃圾、医疗和餐厨废弃物、危废等物质的资源化开发利用。坚持铝铅锌铜锡再生金属产业齐头并进，围绕废旧金属及机械回收拆解、毛坯锭生产、型材及部件配件加工不断延伸产业链。</w:t>
      </w:r>
      <w:r>
        <w:rPr>
          <w:rFonts w:eastAsia="仿宋_GB2312" w:cs="仿宋_GB2312" w:hint="eastAsia"/>
          <w:color w:val="000000"/>
          <w:sz w:val="32"/>
          <w:szCs w:val="32"/>
        </w:rPr>
        <w:t>满负荷运营有色金属交易市场，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加速推进凯威固废处理、大广盛铂</w:t>
      </w:r>
      <w:r>
        <w:rPr>
          <w:rFonts w:ascii="仿宋_GB2312" w:eastAsia="仿宋_GB2312" w:hAnsi="仿宋_GB2312" w:cs="仿宋_GB2312" w:hint="eastAsia"/>
          <w:sz w:val="32"/>
          <w:szCs w:val="32"/>
        </w:rPr>
        <w:t>废旧贵金属回收利用、昌盛废旧轮胎综合利用等项目建成投运，开工建设固体废物综合处置及利用生产玻璃棉制品、废旧塑料资源再利用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等项目，力助亿晨环保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万吨再生铅、</w:t>
      </w:r>
      <w:r>
        <w:rPr>
          <w:rStyle w:val="NormalCharacter"/>
          <w:rFonts w:eastAsia="仿宋_GB2312"/>
          <w:color w:val="000000"/>
          <w:sz w:val="32"/>
          <w:szCs w:val="32"/>
        </w:rPr>
        <w:t>御鑫隆、广雄等企业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稳产提能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，</w:t>
      </w:r>
      <w:r>
        <w:rPr>
          <w:rStyle w:val="NormalCharacter"/>
          <w:rFonts w:eastAsia="仿宋_GB2312"/>
          <w:color w:val="000000"/>
          <w:sz w:val="32"/>
          <w:szCs w:val="32"/>
        </w:rPr>
        <w:t>中远再生铝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、</w:t>
      </w:r>
      <w:r>
        <w:rPr>
          <w:rFonts w:eastAsia="仿宋_GB2312" w:cs="仿宋_GB2312" w:hint="eastAsia"/>
          <w:color w:val="000000"/>
          <w:sz w:val="32"/>
          <w:szCs w:val="32"/>
        </w:rPr>
        <w:t>鲲鹏汽车拆解</w:t>
      </w:r>
      <w:r>
        <w:rPr>
          <w:rStyle w:val="NormalCharacter"/>
          <w:rFonts w:eastAsia="仿宋_GB2312"/>
          <w:color w:val="000000"/>
          <w:sz w:val="32"/>
          <w:szCs w:val="32"/>
        </w:rPr>
        <w:t>等项目投产达效，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泰合含锌固废、清洋废弃电子产品拆解等项目开工，中汇九府铝型材加工、琪鑫铜锭及铜铸件加工等项目取得实质性进展，</w:t>
      </w:r>
      <w:r>
        <w:rPr>
          <w:rFonts w:eastAsia="仿宋_GB2312" w:cs="仿宋_GB2312" w:hint="eastAsia"/>
          <w:color w:val="000000"/>
          <w:sz w:val="32"/>
          <w:szCs w:val="32"/>
        </w:rPr>
        <w:t>力争年内再生铝产能突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万吨，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逐步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打造国内知名、全省首屈</w:t>
      </w:r>
      <w:r>
        <w:rPr>
          <w:rFonts w:eastAsia="仿宋_GB2312" w:cs="仿宋_GB2312" w:hint="eastAsia"/>
          <w:color w:val="000000"/>
          <w:sz w:val="32"/>
          <w:szCs w:val="32"/>
        </w:rPr>
        <w:t>一指的百亿级再生金属产业集聚地。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/>
          <w:sz w:val="32"/>
          <w:szCs w:val="32"/>
        </w:rPr>
        <w:t>持续发展新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能源产业</w:t>
      </w: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。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大力推广“源网荷储”一体化模式，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持续扩大新能源产业装机容量。</w:t>
      </w:r>
      <w:r>
        <w:rPr>
          <w:rFonts w:ascii="仿宋_GB2312" w:eastAsia="仿宋_GB2312" w:hAnsi="仿宋_GB2312" w:cs="仿宋_GB2312" w:hint="eastAsia"/>
          <w:sz w:val="32"/>
          <w:szCs w:val="32"/>
        </w:rPr>
        <w:t>在推进运达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万千瓦风电项目全额并网的同时，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全力做好</w:t>
      </w:r>
      <w:r>
        <w:rPr>
          <w:rFonts w:ascii="仿宋_GB2312" w:eastAsia="仿宋_GB2312" w:hAnsi="仿宋_GB2312" w:cs="仿宋_GB2312" w:hint="eastAsia"/>
          <w:sz w:val="32"/>
          <w:szCs w:val="32"/>
        </w:rPr>
        <w:t>30MW</w:t>
      </w:r>
      <w:r>
        <w:rPr>
          <w:rFonts w:ascii="仿宋_GB2312" w:eastAsia="仿宋_GB2312" w:hAnsi="仿宋_GB2312" w:cs="仿宋_GB2312" w:hint="eastAsia"/>
          <w:sz w:val="32"/>
          <w:szCs w:val="32"/>
        </w:rPr>
        <w:t>分散式风电、曌煜</w:t>
      </w:r>
      <w:r>
        <w:rPr>
          <w:rFonts w:ascii="仿宋_GB2312" w:eastAsia="仿宋_GB2312" w:hAnsi="仿宋_GB2312" w:cs="仿宋_GB2312" w:hint="eastAsia"/>
          <w:sz w:val="32"/>
          <w:szCs w:val="32"/>
        </w:rPr>
        <w:t>29MW</w:t>
      </w:r>
      <w:r>
        <w:rPr>
          <w:rFonts w:ascii="仿宋_GB2312" w:eastAsia="仿宋_GB2312" w:hAnsi="仿宋_GB2312" w:cs="仿宋_GB2312" w:hint="eastAsia"/>
          <w:sz w:val="32"/>
          <w:szCs w:val="32"/>
        </w:rPr>
        <w:t>分散式风电、运达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万千瓦风电扩容、秦云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万千瓦风电扩容、夏初海博</w:t>
      </w:r>
      <w:r>
        <w:rPr>
          <w:rFonts w:ascii="仿宋_GB2312" w:eastAsia="仿宋_GB2312" w:hAnsi="仿宋_GB2312" w:cs="仿宋_GB2312" w:hint="eastAsia"/>
          <w:sz w:val="32"/>
          <w:szCs w:val="32"/>
        </w:rPr>
        <w:t>100MW</w:t>
      </w:r>
      <w:r>
        <w:rPr>
          <w:rFonts w:ascii="仿宋_GB2312" w:eastAsia="仿宋_GB2312" w:hAnsi="仿宋_GB2312" w:cs="仿宋_GB2312" w:hint="eastAsia"/>
          <w:sz w:val="32"/>
          <w:szCs w:val="32"/>
        </w:rPr>
        <w:t>风电等项目的推进工作，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抓好“金顶光伏”工程，全力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打造全市乃至华北重要绿电基地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加速发展大数据产业。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积极融入“东数西算”山西枢纽大同集群建设，超前谋划布局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人工智能、新一代信息技术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、软件开发、数据应用等产业项目，加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快投资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28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亿元的火山云太行算力中心、投资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4.5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亿元的零碳数基·桃花源一期项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目建设进度，力争投资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41</w:t>
      </w:r>
      <w:r>
        <w:rPr>
          <w:rStyle w:val="NormalCharacter"/>
          <w:rFonts w:eastAsia="仿宋_GB2312"/>
          <w:color w:val="000000"/>
          <w:sz w:val="32"/>
          <w:szCs w:val="32"/>
        </w:rPr>
        <w:t>亿元的抖音二期项目尽快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开工</w:t>
      </w:r>
      <w:r>
        <w:rPr>
          <w:rStyle w:val="NormalCharacter"/>
          <w:rFonts w:eastAsia="仿宋_GB2312"/>
          <w:color w:val="000000"/>
          <w:sz w:val="32"/>
          <w:szCs w:val="32"/>
        </w:rPr>
        <w:t>建设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，</w:t>
      </w:r>
      <w:r>
        <w:rPr>
          <w:rFonts w:eastAsia="仿宋_GB2312" w:cs="仿宋_GB2312" w:hint="eastAsia"/>
          <w:color w:val="000000"/>
          <w:sz w:val="32"/>
          <w:szCs w:val="32"/>
        </w:rPr>
        <w:t>实现由输电力、输能源向输数据、输算力转变，为数字转型、智能升级发挥龙头带动作用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（二）狠抓项目建设，增强投资拉动能级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全力以赴抓招商。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招商引资“一把手”工程不动摇，发挥园区招商引资主力军作用、驻外招商小分队作用，带动形成大招商、招大商、全员招商的浓厚氛围。立足主导产业、优势产业、潜力产业，紧盯京津冀等重点区域、重点行业、重点企业，加强产业链招商、以商招商、科技招商、基金招商、商协会招商，提高招商引资精准度、成功率和实效性，助推重点产业链纵横延伸，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力争招商引资到位资金增长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30%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以上。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用情用力抓争资。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扣国家政策导向、产业方向和投资热点，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认真谋划中央预算投资、增发国债、地方政府专项债、政策性开发性金融工具、省市补助资金涉及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产业发展、基础设施、民生保障等方面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的好项目、大项目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加快项目包装论证和前期工作，不断提高项目成熟度</w:t>
      </w:r>
      <w:r>
        <w:rPr>
          <w:rStyle w:val="NormalCharacter"/>
          <w:rFonts w:ascii="仿宋_GB2312" w:eastAsia="仿宋_GB2312" w:cs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及时纳入国家重大项目库，让更多项目进入上级视野，得到支持。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凝聚合力抓推进。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严格落实领导包联重点工程项目制度，深入实施“四个一”推进机制，</w:t>
      </w:r>
      <w:r>
        <w:rPr>
          <w:rFonts w:ascii="仿宋_GB2312" w:eastAsia="仿宋_GB2312" w:hAnsi="仿宋_GB2312" w:cs="仿宋_GB2312" w:hint="eastAsia"/>
          <w:sz w:val="32"/>
          <w:szCs w:val="32"/>
        </w:rPr>
        <w:t>进一步提高项目开工率、投资完成率、按期竣工率。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深入开展项目建设“奔跑行动”，健全完善落实项目要素保障的工作机制，千方百计打通要素保障堵点，形成推动项目落地建设强大合力，力争续建项目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4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月底全部复工、新建项目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6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月底全部开工。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（三）拓展消费空间，繁荣城乡经济市场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大力促进文旅消费。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积极推进省级国家全域旅游示范区创建，持续推动涧西村、山水白羊等乡村旅游示范村和文旅康养示范区提档升级，推进水神堂、涧西古堡创建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AAA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级旅游景区，</w:t>
      </w:r>
      <w:r>
        <w:rPr>
          <w:rStyle w:val="NormalCharacter"/>
          <w:rFonts w:eastAsia="仿宋_GB2312"/>
          <w:color w:val="000000"/>
          <w:kern w:val="0"/>
          <w:sz w:val="32"/>
          <w:szCs w:val="32"/>
        </w:rPr>
        <w:t>强化文旅参与性、体验性、趣味性强的产品供给，培育发展</w:t>
      </w:r>
      <w:r>
        <w:rPr>
          <w:rStyle w:val="NormalCharacter"/>
          <w:rFonts w:eastAsia="仿宋_GB2312"/>
          <w:color w:val="000000"/>
          <w:kern w:val="0"/>
          <w:sz w:val="32"/>
          <w:szCs w:val="32"/>
        </w:rPr>
        <w:t>“</w:t>
      </w:r>
      <w:r>
        <w:rPr>
          <w:rStyle w:val="NormalCharacter"/>
          <w:rFonts w:eastAsia="仿宋_GB2312"/>
          <w:color w:val="000000"/>
          <w:kern w:val="0"/>
          <w:sz w:val="32"/>
          <w:szCs w:val="32"/>
        </w:rPr>
        <w:t>旅游＋</w:t>
      </w:r>
      <w:r>
        <w:rPr>
          <w:rStyle w:val="NormalCharacter"/>
          <w:rFonts w:eastAsia="仿宋_GB2312"/>
          <w:color w:val="000000"/>
          <w:kern w:val="0"/>
          <w:sz w:val="32"/>
          <w:szCs w:val="32"/>
        </w:rPr>
        <w:t>”</w:t>
      </w:r>
      <w:r>
        <w:rPr>
          <w:rStyle w:val="NormalCharacter"/>
          <w:rFonts w:eastAsia="仿宋_GB2312"/>
          <w:color w:val="000000"/>
          <w:kern w:val="0"/>
          <w:sz w:val="32"/>
          <w:szCs w:val="32"/>
        </w:rPr>
        <w:t>新业态，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推动旅游与文化、体育、康养等产业深度融合，全力叫响</w:t>
      </w:r>
      <w:r>
        <w:rPr>
          <w:rStyle w:val="NormalCharacter"/>
          <w:rFonts w:eastAsia="仿宋_GB2312" w:hint="eastAsia"/>
          <w:color w:val="000000"/>
          <w:kern w:val="0"/>
          <w:sz w:val="32"/>
          <w:szCs w:val="32"/>
        </w:rPr>
        <w:t>广灵</w:t>
      </w:r>
      <w:r>
        <w:rPr>
          <w:rStyle w:val="NormalCharacter"/>
          <w:rFonts w:eastAsia="仿宋_GB2312"/>
          <w:color w:val="000000"/>
          <w:kern w:val="0"/>
          <w:sz w:val="32"/>
          <w:szCs w:val="32"/>
        </w:rPr>
        <w:t>文旅品牌。依托田园风光、特色餐饮、乡土文化、产业特色等资源优势，鼓励引导社会资本谋划实施一批农文旅融合项目，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奋力打造对接“京津冀雄”全域康养度假旅游长廊。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全力提升消费热度。</w:t>
      </w:r>
      <w:r>
        <w:rPr>
          <w:rStyle w:val="NormalCharacter"/>
          <w:rFonts w:eastAsia="仿宋_GB2312"/>
          <w:color w:val="000000"/>
          <w:sz w:val="32"/>
          <w:szCs w:val="32"/>
        </w:rPr>
        <w:t>用好用足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推动大规模设备更新和消费品以旧换新等</w:t>
      </w:r>
      <w:r>
        <w:rPr>
          <w:rStyle w:val="NormalCharacter"/>
          <w:rFonts w:eastAsia="仿宋_GB2312"/>
          <w:color w:val="000000"/>
          <w:sz w:val="32"/>
          <w:szCs w:val="32"/>
        </w:rPr>
        <w:t>促进消费政策措施，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瞄准住房、文化旅游、大宗家电、新能源汽车等消费热点，开展多元化消费活动；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大力培育消费新热点，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做强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“综合示范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+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乡村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e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镇”共建工程，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培育线上消费新业态，</w:t>
      </w:r>
      <w:r>
        <w:rPr>
          <w:rFonts w:eastAsia="仿宋_GB2312" w:hint="eastAsia"/>
          <w:color w:val="000000"/>
          <w:sz w:val="32"/>
          <w:szCs w:val="32"/>
        </w:rPr>
        <w:t>发展电商直播、网红经济新业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态新模式，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打造电商产业聚集地；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用好“电子消费券”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“爱心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消费券”拉动消费；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鼓励发展特色购物街区，提升夜市经济，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地摊经济、小店经济，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刺激各类商品消费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，力争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年内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限上商贸单位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达到</w:t>
      </w:r>
      <w:r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家以上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着力优化消费环境。</w:t>
      </w:r>
      <w:r>
        <w:rPr>
          <w:rStyle w:val="NormalCharacter"/>
          <w:rFonts w:eastAsia="仿宋_GB2312"/>
          <w:color w:val="000000"/>
          <w:kern w:val="0"/>
          <w:sz w:val="32"/>
          <w:szCs w:val="32"/>
        </w:rPr>
        <w:t>加强县域商业体系、农产品供应链体系建设，完善县乡村寄递物流体系，进一步畅通农产品进城、工业品下乡的渠道。</w:t>
      </w:r>
      <w:r>
        <w:rPr>
          <w:rStyle w:val="NormalCharacter"/>
          <w:rFonts w:eastAsia="仿宋_GB2312" w:hint="eastAsia"/>
          <w:color w:val="000000"/>
          <w:kern w:val="0"/>
          <w:sz w:val="32"/>
          <w:szCs w:val="32"/>
        </w:rPr>
        <w:t>完善住房保障政策，支持刚性和改</w:t>
      </w:r>
      <w:r>
        <w:rPr>
          <w:rStyle w:val="NormalCharacter"/>
          <w:rFonts w:eastAsia="仿宋_GB2312" w:hint="eastAsia"/>
          <w:color w:val="000000"/>
          <w:kern w:val="0"/>
          <w:sz w:val="32"/>
          <w:szCs w:val="32"/>
        </w:rPr>
        <w:lastRenderedPageBreak/>
        <w:t>善性住房需求，稳住房地产消费。积极倡导竞争依法合规和诚信经营理念，加强消费者权益保护协同联动，全方位加强消费者权益保护，</w:t>
      </w:r>
      <w:r>
        <w:rPr>
          <w:rFonts w:ascii="仿宋_GB2312" w:eastAsia="仿宋_GB2312" w:hAnsi="楷体_GB2312" w:cs="楷体_GB2312" w:hint="eastAsia"/>
          <w:sz w:val="32"/>
          <w:szCs w:val="32"/>
        </w:rPr>
        <w:t>营造安全、诚信消费环境，让群众放心消费、大胆消费。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（四）深化改革创新，激发县域发展活力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深化重点领域改革。</w:t>
      </w:r>
      <w:r>
        <w:rPr>
          <w:rFonts w:ascii="仿宋_GB2312" w:eastAsia="仿宋_GB2312" w:hAnsi="楷体_GB2312" w:cs="楷体_GB2312" w:hint="eastAsia"/>
          <w:sz w:val="32"/>
          <w:szCs w:val="32"/>
        </w:rPr>
        <w:t>全面完成机构改革。深化基础设施投融资体制改革，规范实施政府和社会资本合作新机制，支持民间资本参与县城建设、生态保护、基础设施改善等领域，激发民间投资动能。深入实施国有企业改革深化提升行动，</w:t>
      </w:r>
      <w:r>
        <w:rPr>
          <w:rStyle w:val="NormalCharacter"/>
          <w:rFonts w:eastAsia="仿宋_GB2312"/>
          <w:sz w:val="32"/>
          <w:szCs w:val="32"/>
        </w:rPr>
        <w:t>抓好无效资产、低效资产</w:t>
      </w:r>
      <w:r>
        <w:rPr>
          <w:rStyle w:val="NormalCharacter"/>
          <w:rFonts w:eastAsia="仿宋_GB2312"/>
          <w:sz w:val="32"/>
          <w:szCs w:val="32"/>
        </w:rPr>
        <w:t>“</w:t>
      </w:r>
      <w:r>
        <w:rPr>
          <w:rStyle w:val="NormalCharacter"/>
          <w:rFonts w:eastAsia="仿宋_GB2312"/>
          <w:sz w:val="32"/>
          <w:szCs w:val="32"/>
        </w:rPr>
        <w:t>两资</w:t>
      </w:r>
      <w:r>
        <w:rPr>
          <w:rStyle w:val="NormalCharacter"/>
          <w:rFonts w:eastAsia="仿宋_GB2312"/>
          <w:sz w:val="32"/>
          <w:szCs w:val="32"/>
        </w:rPr>
        <w:t>”</w:t>
      </w:r>
      <w:r>
        <w:rPr>
          <w:rStyle w:val="NormalCharacter"/>
          <w:rFonts w:eastAsia="仿宋_GB2312"/>
          <w:sz w:val="32"/>
          <w:szCs w:val="32"/>
        </w:rPr>
        <w:t>处置</w:t>
      </w:r>
      <w:r>
        <w:rPr>
          <w:rStyle w:val="NormalCharacter"/>
          <w:rFonts w:eastAsia="仿宋_GB2312" w:hint="eastAsia"/>
          <w:sz w:val="32"/>
          <w:szCs w:val="32"/>
        </w:rPr>
        <w:t>，</w:t>
      </w:r>
      <w:r>
        <w:rPr>
          <w:rFonts w:ascii="仿宋_GB2312" w:eastAsia="仿宋_GB2312" w:hAnsi="楷体_GB2312" w:cs="楷体_GB2312" w:hint="eastAsia"/>
          <w:sz w:val="32"/>
          <w:szCs w:val="32"/>
        </w:rPr>
        <w:t>推动瘦身健体、降本增效、转型发展。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深化财税金融改革，从严从紧核定“三公”经费，压减一般性支出</w:t>
      </w:r>
      <w:r>
        <w:rPr>
          <w:rFonts w:ascii="仿宋_GB2312" w:eastAsia="仿宋_GB2312" w:hAnsi="楷体_GB2312" w:cs="楷体_GB2312" w:hint="eastAsia"/>
          <w:sz w:val="32"/>
          <w:szCs w:val="32"/>
        </w:rPr>
        <w:t>。</w:t>
      </w:r>
      <w:r>
        <w:rPr>
          <w:rFonts w:eastAsia="仿宋_GB2312" w:cs="仿宋_GB2312" w:hint="eastAsia"/>
          <w:color w:val="000000"/>
          <w:sz w:val="32"/>
          <w:szCs w:val="32"/>
        </w:rPr>
        <w:t>顶格落实生育奖励扶持政策，探索建立三孩家庭购房优惠政策，精准出台外地来县就读优秀学生购房、社保、迁籍等暖心政策。</w:t>
      </w:r>
    </w:p>
    <w:p w:rsidR="00FC0A19" w:rsidRDefault="003826EE">
      <w:pPr>
        <w:spacing w:line="600" w:lineRule="exact"/>
        <w:ind w:firstLineChars="200" w:firstLine="643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  <w:shd w:val="clear" w:color="auto" w:fill="FFFFFF"/>
        </w:rPr>
        <w:t>创建一流营商环境。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持续深化“放管服”改革，</w:t>
      </w:r>
      <w:r>
        <w:rPr>
          <w:rFonts w:ascii="仿宋_GB2312" w:eastAsia="仿宋_GB2312" w:hAnsi="仿宋_GB2312" w:cs="仿宋_GB2312" w:hint="eastAsia"/>
          <w:sz w:val="32"/>
          <w:szCs w:val="32"/>
        </w:rPr>
        <w:t>深入推进“证照分离”改革，深化涉企经营许可告知承诺制改革；深化企业开办“一件事”改革，完善一体化在线政务服务平台功能，实现更多事项“一次全办”“全程网办”；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深化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“承诺制＋标准地＋全代办”改革和开发区“三化三制”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等改革；健全行业监管部门与综合监管部门协调配合机制，推进部门联合“双随机、一公开”监管常态化。积极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构建亲清政商关系，健全入企服务机制，倾心倾力为民营企业解难题、办实事，让民营企业家大胆创新、放心创业、放手创造。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lastRenderedPageBreak/>
        <w:t>强化科技人才支撑。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充分发挥创新主导作用，</w:t>
      </w:r>
      <w:r>
        <w:rPr>
          <w:rFonts w:ascii="仿宋_GB2312" w:eastAsia="仿宋_GB2312" w:hAnsi="楷体_GB2312" w:cs="楷体_GB2312" w:hint="eastAsia"/>
          <w:color w:val="000000" w:themeColor="text1"/>
          <w:sz w:val="32"/>
          <w:szCs w:val="32"/>
        </w:rPr>
        <w:t>深入实施规模以上工业企业创新平台建设，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不断塑造发展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新质生产力氛围</w:t>
      </w:r>
      <w:r>
        <w:rPr>
          <w:rFonts w:ascii="仿宋_GB2312" w:eastAsia="仿宋_GB2312" w:hAnsi="楷体_GB2312" w:cs="楷体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深入推动“双创”活动，建设一批众创空间、科技孵化器、小微企业双创基地和园区，助力大学生和社会青年创业。</w:t>
      </w:r>
      <w:r>
        <w:rPr>
          <w:rFonts w:ascii="仿宋_GB2312" w:eastAsia="仿宋_GB2312" w:hAnsi="仿宋_GB2312" w:cs="仿宋_GB2312" w:hint="eastAsia"/>
          <w:color w:val="000000" w:themeColor="text1"/>
          <w:spacing w:val="-4"/>
          <w:sz w:val="32"/>
          <w:szCs w:val="32"/>
        </w:rPr>
        <w:t>深入推进省校合作“</w:t>
      </w:r>
      <w:r>
        <w:rPr>
          <w:rFonts w:ascii="仿宋_GB2312" w:eastAsia="仿宋_GB2312" w:hAnsi="仿宋_GB2312" w:cs="仿宋_GB2312" w:hint="eastAsia"/>
          <w:color w:val="000000" w:themeColor="text1"/>
          <w:spacing w:val="-4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000000" w:themeColor="text1"/>
          <w:spacing w:val="-4"/>
          <w:sz w:val="32"/>
          <w:szCs w:val="32"/>
        </w:rPr>
        <w:t>大基地”建设，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加强与山西农大（农科院）、大同大学等院校的战略合作；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加快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</w:rPr>
        <w:t>创新人才、专业团队和优秀技工等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各类人才培育和引进，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动态建立完善符合广灵经济发展需要的“人才库”</w:t>
      </w:r>
      <w:r>
        <w:rPr>
          <w:rFonts w:ascii="仿宋_GB2312" w:eastAsia="仿宋_GB2312" w:hAnsi="楷体_GB2312" w:cs="楷体_GB2312" w:hint="eastAsia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eastAsia="仿宋_GB2312" w:hint="eastAsia"/>
          <w:b/>
          <w:bCs/>
          <w:color w:val="000000"/>
          <w:sz w:val="32"/>
          <w:szCs w:val="32"/>
        </w:rPr>
        <w:t>发展壮大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市场主体。</w:t>
      </w:r>
      <w:r>
        <w:rPr>
          <w:rFonts w:eastAsia="仿宋_GB2312" w:hint="eastAsia"/>
          <w:color w:val="000000"/>
          <w:sz w:val="32"/>
          <w:szCs w:val="32"/>
        </w:rPr>
        <w:t>统筹推进保主体、增主体、活主体、强主体各项措施</w:t>
      </w:r>
      <w:r>
        <w:rPr>
          <w:rFonts w:hint="eastAsia"/>
          <w:color w:val="000000"/>
          <w:sz w:val="32"/>
          <w:szCs w:val="32"/>
        </w:rPr>
        <w:t>，</w:t>
      </w:r>
      <w:r>
        <w:rPr>
          <w:rFonts w:eastAsia="仿宋_GB2312" w:hint="eastAsia"/>
          <w:color w:val="000000"/>
          <w:sz w:val="32"/>
          <w:szCs w:val="32"/>
        </w:rPr>
        <w:t>梯次推进“个转企、小升规、规改股、股上市”</w:t>
      </w:r>
      <w:r>
        <w:rPr>
          <w:rFonts w:hint="eastAsia"/>
          <w:color w:val="000000"/>
          <w:sz w:val="32"/>
          <w:szCs w:val="32"/>
        </w:rPr>
        <w:t>；</w:t>
      </w:r>
      <w:r>
        <w:rPr>
          <w:rFonts w:eastAsia="仿宋_GB2312" w:hint="eastAsia"/>
          <w:color w:val="000000"/>
          <w:sz w:val="32"/>
          <w:szCs w:val="32"/>
        </w:rPr>
        <w:t>大力实施高新技术企业倍增计划，加大科技研发投入，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强化“四上”“专精特新”“小巨人”企业培育</w:t>
      </w:r>
      <w:r>
        <w:rPr>
          <w:rFonts w:eastAsia="仿宋_GB2312" w:hint="eastAsia"/>
          <w:color w:val="00000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持续壮大民营经济，落实“促进民营经济发展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条”等政策措施，坚决破除隐性壁垒，加大对民营企业融资支持力度，</w:t>
      </w:r>
      <w:r>
        <w:rPr>
          <w:rStyle w:val="NormalCharacter"/>
          <w:rFonts w:eastAsia="仿宋_GB2312"/>
          <w:sz w:val="32"/>
          <w:szCs w:val="32"/>
        </w:rPr>
        <w:t>千方百计激发经营主体活力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（五）聚力乡村振兴，开创三农工作新局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cs="楷体_GB2312" w:hint="eastAsia"/>
          <w:b/>
          <w:bCs/>
          <w:sz w:val="32"/>
          <w:szCs w:val="32"/>
        </w:rPr>
        <w:t>抓实巩固衔接工作。</w:t>
      </w:r>
      <w:r>
        <w:rPr>
          <w:rFonts w:ascii="仿宋_GB2312" w:eastAsia="仿宋_GB2312" w:hAnsi="楷体_GB2312" w:cs="楷体_GB2312" w:hint="eastAsia"/>
          <w:sz w:val="32"/>
          <w:szCs w:val="32"/>
        </w:rPr>
        <w:t>健全防止返贫监测帮扶机制，</w:t>
      </w:r>
      <w:r>
        <w:rPr>
          <w:rFonts w:eastAsia="仿宋_GB2312" w:cs="仿宋_GB2312" w:hint="eastAsia"/>
          <w:bCs/>
          <w:sz w:val="32"/>
          <w:szCs w:val="32"/>
        </w:rPr>
        <w:t>一户一策、精准滴灌，适时开展</w:t>
      </w:r>
      <w:r>
        <w:rPr>
          <w:rFonts w:eastAsia="仿宋_GB2312" w:hint="eastAsia"/>
          <w:bCs/>
          <w:sz w:val="32"/>
          <w:szCs w:val="32"/>
        </w:rPr>
        <w:t>问题整改</w:t>
      </w:r>
      <w:r>
        <w:rPr>
          <w:rFonts w:eastAsia="仿宋_GB2312" w:cs="仿宋_GB2312" w:hint="eastAsia"/>
          <w:bCs/>
          <w:sz w:val="32"/>
          <w:szCs w:val="32"/>
        </w:rPr>
        <w:t>“大起底”“回头看”，</w:t>
      </w:r>
      <w:r>
        <w:rPr>
          <w:rFonts w:ascii="仿宋_GB2312" w:eastAsia="仿宋_GB2312" w:hAnsi="楷体_GB2312" w:cs="楷体_GB2312" w:hint="eastAsia"/>
          <w:sz w:val="32"/>
          <w:szCs w:val="32"/>
        </w:rPr>
        <w:t>强化开发式帮扶措施，确保不发生规模性返贫。大力</w:t>
      </w:r>
      <w:r>
        <w:rPr>
          <w:rFonts w:eastAsia="仿宋_GB2312" w:cs="仿宋_GB2312" w:hint="eastAsia"/>
          <w:sz w:val="32"/>
          <w:szCs w:val="32"/>
        </w:rPr>
        <w:t>发展壮大村集体经济，</w:t>
      </w:r>
      <w:r>
        <w:rPr>
          <w:rFonts w:eastAsia="仿宋_GB2312" w:cs="仿宋_GB2312" w:hint="eastAsia"/>
          <w:bCs/>
          <w:sz w:val="32"/>
          <w:szCs w:val="32"/>
        </w:rPr>
        <w:t>精准摸底开展“清化收”，持续推广“党支部领办合作社”经验，不断做实</w:t>
      </w:r>
      <w:r>
        <w:rPr>
          <w:rFonts w:eastAsia="仿宋_GB2312" w:cs="仿宋_GB2312" w:hint="eastAsia"/>
          <w:color w:val="000000"/>
          <w:sz w:val="32"/>
          <w:szCs w:val="32"/>
        </w:rPr>
        <w:t>“金顶光伏”、分散式风电</w:t>
      </w:r>
      <w:r>
        <w:rPr>
          <w:rFonts w:eastAsia="仿宋_GB2312" w:cs="仿宋_GB2312" w:hint="eastAsia"/>
          <w:sz w:val="32"/>
          <w:szCs w:val="32"/>
        </w:rPr>
        <w:t>等收益稳定、可持续的优质项目，以产业项目兜底覆盖集体增收。</w:t>
      </w:r>
      <w:r>
        <w:rPr>
          <w:rFonts w:eastAsia="仿宋_GB2312" w:cs="仿宋_GB2312" w:hint="eastAsia"/>
          <w:color w:val="000000"/>
          <w:sz w:val="32"/>
          <w:szCs w:val="32"/>
        </w:rPr>
        <w:t>着力发挥项目的联农富农带农作用、上级资金的牵引</w:t>
      </w:r>
      <w:r>
        <w:rPr>
          <w:rFonts w:eastAsia="仿宋_GB2312" w:cs="仿宋_GB2312" w:hint="eastAsia"/>
          <w:color w:val="000000"/>
          <w:sz w:val="32"/>
          <w:szCs w:val="32"/>
        </w:rPr>
        <w:lastRenderedPageBreak/>
        <w:t>撬动作用，优化完善奖补政策，集中优势发展一批代工基地、“箱包车间”“示范工厂”，做大箱包、编织、雕塑等手工业，</w:t>
      </w:r>
      <w:r>
        <w:rPr>
          <w:rFonts w:eastAsia="仿宋_GB2312" w:cs="仿宋_GB2312" w:hint="eastAsia"/>
          <w:sz w:val="32"/>
          <w:szCs w:val="32"/>
        </w:rPr>
        <w:t>不断拓展</w:t>
      </w:r>
      <w:r>
        <w:rPr>
          <w:rFonts w:eastAsia="仿宋_GB2312" w:cs="仿宋_GB2312" w:hint="eastAsia"/>
          <w:bCs/>
          <w:color w:val="000000"/>
          <w:sz w:val="32"/>
          <w:szCs w:val="32"/>
        </w:rPr>
        <w:t>就业渠道</w:t>
      </w:r>
      <w:r>
        <w:rPr>
          <w:rFonts w:eastAsia="仿宋_GB2312" w:cs="仿宋_GB2312" w:hint="eastAsia"/>
          <w:color w:val="000000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夯实粮食安全根基。</w:t>
      </w:r>
      <w:r>
        <w:rPr>
          <w:rFonts w:ascii="仿宋_GB2312" w:eastAsia="仿宋_GB2312" w:hAnsi="楷体_GB2312" w:cs="楷体_GB2312" w:hint="eastAsia"/>
          <w:sz w:val="32"/>
          <w:szCs w:val="32"/>
        </w:rPr>
        <w:t>深入落实田长制，坚决遏制耕地“非农化”、防止“非粮化”。实施粮油等作物单产提升行动，集中连片推广滴灌</w:t>
      </w:r>
      <w:r>
        <w:rPr>
          <w:rFonts w:ascii="仿宋_GB2312" w:eastAsia="仿宋_GB2312" w:hAnsi="楷体_GB2312" w:cs="楷体_GB2312" w:hint="eastAsia"/>
          <w:sz w:val="32"/>
          <w:szCs w:val="32"/>
        </w:rPr>
        <w:t>8.3</w:t>
      </w:r>
      <w:r>
        <w:rPr>
          <w:rFonts w:ascii="仿宋_GB2312" w:eastAsia="仿宋_GB2312" w:hAnsi="楷体_GB2312" w:cs="楷体_GB2312" w:hint="eastAsia"/>
          <w:sz w:val="32"/>
          <w:szCs w:val="32"/>
        </w:rPr>
        <w:t>2</w:t>
      </w:r>
      <w:r>
        <w:rPr>
          <w:rFonts w:ascii="仿宋_GB2312" w:eastAsia="仿宋_GB2312" w:hAnsi="楷体_GB2312" w:cs="楷体_GB2312" w:hint="eastAsia"/>
          <w:sz w:val="32"/>
          <w:szCs w:val="32"/>
        </w:rPr>
        <w:t>万亩，发展有机旱作农业</w:t>
      </w:r>
      <w:r>
        <w:rPr>
          <w:rFonts w:ascii="仿宋_GB2312" w:eastAsia="仿宋_GB2312" w:hAnsi="楷体_GB2312" w:cs="楷体_GB2312" w:hint="eastAsia"/>
          <w:sz w:val="32"/>
          <w:szCs w:val="32"/>
        </w:rPr>
        <w:t>6</w:t>
      </w:r>
      <w:r>
        <w:rPr>
          <w:rFonts w:ascii="仿宋_GB2312" w:eastAsia="仿宋_GB2312" w:hAnsi="楷体_GB2312" w:cs="楷体_GB2312" w:hint="eastAsia"/>
          <w:sz w:val="32"/>
          <w:szCs w:val="32"/>
        </w:rPr>
        <w:t>万亩，建成高标准农田</w:t>
      </w:r>
      <w:r>
        <w:rPr>
          <w:rFonts w:ascii="仿宋_GB2312" w:eastAsia="仿宋_GB2312" w:hAnsi="楷体_GB2312" w:cs="楷体_GB2312" w:hint="eastAsia"/>
          <w:sz w:val="32"/>
          <w:szCs w:val="32"/>
        </w:rPr>
        <w:t>1.8</w:t>
      </w:r>
      <w:r>
        <w:rPr>
          <w:rFonts w:ascii="仿宋_GB2312" w:eastAsia="仿宋_GB2312" w:hAnsi="楷体_GB2312" w:cs="楷体_GB2312" w:hint="eastAsia"/>
          <w:sz w:val="32"/>
          <w:szCs w:val="32"/>
        </w:rPr>
        <w:t>万亩以上，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粮食产量稳定在</w:t>
      </w:r>
      <w:r>
        <w:rPr>
          <w:rFonts w:cs="仿宋_GB2312" w:hint="eastAsia"/>
          <w:color w:val="000000"/>
          <w:kern w:val="0"/>
          <w:sz w:val="32"/>
          <w:szCs w:val="32"/>
        </w:rPr>
        <w:t>3.85</w:t>
      </w:r>
      <w:r>
        <w:rPr>
          <w:rFonts w:eastAsia="仿宋_GB2312" w:cs="仿宋_GB2312" w:hint="eastAsia"/>
          <w:color w:val="000000"/>
          <w:kern w:val="0"/>
          <w:sz w:val="32"/>
          <w:szCs w:val="32"/>
        </w:rPr>
        <w:t>亿斤</w:t>
      </w:r>
      <w:r>
        <w:rPr>
          <w:rFonts w:ascii="仿宋_GB2312" w:eastAsia="仿宋_GB2312" w:hAnsi="楷体_GB2312" w:cs="楷体_GB2312" w:hint="eastAsia"/>
          <w:sz w:val="32"/>
          <w:szCs w:val="32"/>
        </w:rPr>
        <w:t>。充分发挥好农经中心作用，抓好优质品种选育推广、机械化生产、社会化服务，确保粮食生产面积和产量持续增长。积极落实惠农补贴、粮</w:t>
      </w:r>
      <w:r>
        <w:rPr>
          <w:rFonts w:ascii="仿宋_GB2312" w:eastAsia="仿宋_GB2312" w:hAnsi="楷体_GB2312" w:cs="楷体_GB2312" w:hint="eastAsia"/>
          <w:sz w:val="32"/>
          <w:szCs w:val="32"/>
        </w:rPr>
        <w:t>食收储等政策，提高农民种粮综合效益。</w:t>
      </w:r>
    </w:p>
    <w:p w:rsidR="00FC0A19" w:rsidRDefault="003826EE">
      <w:pPr>
        <w:spacing w:line="600" w:lineRule="exact"/>
        <w:ind w:firstLineChars="200" w:firstLine="643"/>
        <w:rPr>
          <w:rStyle w:val="NormalCharacter"/>
          <w:rFonts w:eastAsia="仿宋_GB2312"/>
          <w:color w:val="000000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大力发展特色产业。</w:t>
      </w:r>
      <w:r>
        <w:rPr>
          <w:rFonts w:ascii="仿宋_GB2312" w:eastAsia="仿宋_GB2312" w:hAnsi="楷体_GB2312" w:cs="楷体_GB2312" w:hint="eastAsia"/>
          <w:sz w:val="32"/>
          <w:szCs w:val="32"/>
        </w:rPr>
        <w:t>聚焦农业赛道，坚持以工业化的理念抓农村产业发展，聚力农产</w:t>
      </w:r>
      <w:r>
        <w:rPr>
          <w:rFonts w:ascii="仿宋_GB2312" w:eastAsia="仿宋_GB2312" w:hAnsi="仿宋_GB2312" w:cs="仿宋_GB2312" w:hint="eastAsia"/>
          <w:sz w:val="32"/>
          <w:szCs w:val="32"/>
        </w:rPr>
        <w:t>品精深加工，培强龙头企业。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深化与百果园等龙头企业合作，抓实投资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8500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万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元的现代农业产业园项目，配套实施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BLOF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改良土壤项目，推动以西甜瓜、水果型蔬菜为主的设施农业产业化发展。加快推动畜牧业延链、强链、补链，抓好汇隆益众屠宰加工、海高肉牛养殖场扩建、和旺无公害鸡蛋生产基地、新大象年产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30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万吨饲料加工项目落地达效，确保畜牧业产值增长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12%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以上。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推进标准化品牌化建设，年内新增“三品一标”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楷体_GB2312" w:cs="楷体_GB2312" w:hint="eastAsia"/>
          <w:sz w:val="32"/>
          <w:szCs w:val="32"/>
        </w:rPr>
        <w:t>个以上。</w:t>
      </w:r>
      <w:r>
        <w:rPr>
          <w:rStyle w:val="NormalCharacter"/>
          <w:rFonts w:eastAsia="仿宋_GB2312"/>
          <w:color w:val="000000"/>
          <w:sz w:val="32"/>
          <w:szCs w:val="32"/>
        </w:rPr>
        <w:t>鼓励引导东方物华、名沙、为全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、</w:t>
      </w:r>
      <w:r>
        <w:rPr>
          <w:rStyle w:val="NormalCharacter"/>
          <w:rFonts w:eastAsia="仿宋_GB2312"/>
          <w:color w:val="000000"/>
          <w:sz w:val="32"/>
          <w:szCs w:val="32"/>
        </w:rPr>
        <w:t>立景等企业加大产品研发、市场推广、包装推广，延伸产业链、提高附加值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（六）坚持建管并重，提升城乡宜居形象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  <w:shd w:val="clear" w:color="auto" w:fill="FFFFFF"/>
        </w:rPr>
        <w:t>完善城镇功能。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以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宜居宜学宜业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为目标，坚持旧城提质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与新城扩容并重，持续提高城市品质。加快推进宜澜庭、四季花园、盛世文苑、龙湖大院等商住小区项目，全面启动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锦绣龙源、盛世雅居等商住小区项目和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个老旧小区</w:t>
      </w:r>
      <w:r>
        <w:rPr>
          <w:rFonts w:eastAsia="仿宋_GB2312" w:cs="仿宋_GB2312" w:hint="eastAsia"/>
          <w:color w:val="000000"/>
          <w:sz w:val="32"/>
          <w:szCs w:val="32"/>
        </w:rPr>
        <w:t>改造项目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。深入实施</w:t>
      </w:r>
      <w:r>
        <w:rPr>
          <w:rFonts w:eastAsia="仿宋_GB2312" w:cs="仿宋_GB2312" w:hint="eastAsia"/>
          <w:bCs/>
          <w:color w:val="000000"/>
          <w:sz w:val="32"/>
          <w:szCs w:val="32"/>
        </w:rPr>
        <w:t>南环路向东延伸、北环路提升改造项目，实现</w:t>
      </w:r>
      <w:r>
        <w:rPr>
          <w:rFonts w:eastAsia="仿宋_GB2312" w:cs="仿宋_GB2312" w:hint="eastAsia"/>
          <w:color w:val="000000"/>
          <w:sz w:val="32"/>
          <w:szCs w:val="32"/>
        </w:rPr>
        <w:t>县域内交通环线南北贯通。实施下河湾环线道路</w:t>
      </w:r>
      <w:r>
        <w:rPr>
          <w:rFonts w:eastAsia="仿宋_GB2312" w:cs="仿宋_GB2312" w:hint="eastAsia"/>
          <w:bCs/>
          <w:color w:val="000000"/>
          <w:sz w:val="32"/>
          <w:szCs w:val="32"/>
        </w:rPr>
        <w:t>景观提升项目，</w:t>
      </w:r>
      <w:r>
        <w:rPr>
          <w:rFonts w:eastAsia="仿宋_GB2312" w:cs="仿宋_GB2312" w:hint="eastAsia"/>
          <w:color w:val="000000"/>
          <w:sz w:val="32"/>
          <w:szCs w:val="32"/>
        </w:rPr>
        <w:t>推动湿地景观提质。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谋划实施</w:t>
      </w:r>
      <w:r>
        <w:rPr>
          <w:rFonts w:eastAsia="仿宋_GB2312" w:cs="仿宋_GB2312" w:hint="eastAsia"/>
          <w:bCs/>
          <w:color w:val="000000"/>
          <w:sz w:val="32"/>
          <w:szCs w:val="32"/>
        </w:rPr>
        <w:t>老城综合性文体场馆项目</w:t>
      </w:r>
      <w:r>
        <w:rPr>
          <w:rFonts w:eastAsia="仿宋_GB2312" w:cs="仿宋_GB2312" w:hint="eastAsia"/>
          <w:color w:val="000000"/>
          <w:sz w:val="32"/>
          <w:szCs w:val="32"/>
        </w:rPr>
        <w:t>，解决老城文娱活动设施缺失问题。同时，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探索推动游泳馆、工人文化宫向“公益性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市场化运营”发展。</w:t>
      </w:r>
      <w:r>
        <w:rPr>
          <w:rStyle w:val="NormalCharacter"/>
          <w:rFonts w:eastAsia="仿宋_GB2312"/>
          <w:color w:val="000000"/>
          <w:sz w:val="32"/>
          <w:szCs w:val="32"/>
        </w:rPr>
        <w:t>完成老城雨污分流管网升级改造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、</w:t>
      </w:r>
      <w:r>
        <w:rPr>
          <w:rStyle w:val="NormalCharacter"/>
          <w:rFonts w:eastAsia="仿宋_GB2312"/>
          <w:color w:val="000000"/>
          <w:sz w:val="32"/>
          <w:szCs w:val="32"/>
        </w:rPr>
        <w:t>县城污水处理厂尾水人工湿地净化及利用项目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，</w:t>
      </w:r>
      <w:r>
        <w:rPr>
          <w:rStyle w:val="NormalCharacter"/>
          <w:rFonts w:eastAsia="仿宋_GB2312"/>
          <w:color w:val="000000"/>
          <w:sz w:val="32"/>
          <w:szCs w:val="32"/>
        </w:rPr>
        <w:t>持续改善居住环境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。加大对城内道路、绿地、公园绿化的改造提升，丰富城市景观。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  <w:shd w:val="clear" w:color="auto" w:fill="FFFFFF"/>
        </w:rPr>
        <w:t>改善乡村风貌</w:t>
      </w: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  <w:lang w:bidi="zh-CN"/>
        </w:rPr>
        <w:t>。</w:t>
      </w:r>
      <w:r>
        <w:rPr>
          <w:rFonts w:ascii="仿宋_GB2312" w:eastAsia="仿宋_GB2312" w:hAnsi="楷体_GB2312" w:cs="楷体_GB2312" w:hint="eastAsia"/>
          <w:sz w:val="32"/>
          <w:szCs w:val="32"/>
        </w:rPr>
        <w:t>强化规划引领和刚性管控，落实“三区三线”划定成果，完成乡镇国土空间规划编制，提升城镇和建筑景观风貌水平，打造宜居、韧性、智慧、绿色的山水灵秀之城。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lang w:bidi="zh-CN"/>
        </w:rPr>
        <w:t>全面</w:t>
      </w:r>
      <w:r>
        <w:rPr>
          <w:rFonts w:eastAsia="仿宋_GB2312" w:hint="eastAsia"/>
          <w:bCs/>
          <w:sz w:val="32"/>
          <w:szCs w:val="32"/>
        </w:rPr>
        <w:t>推广“千万工程”经验，分类抓好“精品示范村、提档升级</w:t>
      </w:r>
      <w:r>
        <w:rPr>
          <w:rFonts w:eastAsia="仿宋_GB2312" w:hint="eastAsia"/>
          <w:sz w:val="32"/>
          <w:szCs w:val="32"/>
        </w:rPr>
        <w:t>村、环境整治村”建设，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多方撬动社会资本，高水平打造涧西、周图寺、易和等一批地域特色凸显的“美丽乡村示范点”。强持续巩固“六乱”整治攻坚成果，</w:t>
      </w:r>
      <w:r>
        <w:rPr>
          <w:rStyle w:val="NormalCharacter"/>
          <w:rFonts w:eastAsia="仿宋_GB2312"/>
          <w:color w:val="000000"/>
          <w:sz w:val="32"/>
          <w:szCs w:val="32"/>
        </w:rPr>
        <w:t>因地制宜推进生活垃圾、农村改厕、污水治理、村容村貌提升、乡村绿化美化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工程，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着力打造干净整洁有序的农村人居环境。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</w:rPr>
        <w:t>补齐基础短板。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开工建设梁庄至吕家洼、木厂至甸顶山、东崖头至西关道路、东蕉山至沙岭段等农村公路改造工程，提升乡村通达能力。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积极推进水神堂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-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城头会泉域水源置换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项目，积极争取城乡供水一体化和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年农村供水保障巩固提升项目，全力推进下河湾水库防汛应急、南副坝防渗工程和壶流河白羊峪支流防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洪能力提升工程、为工农业生产和人民生活提供保障。优化骨干输变电网，</w:t>
      </w:r>
      <w:r>
        <w:rPr>
          <w:rFonts w:eastAsia="仿宋_GB2312" w:cs="仿宋_GB2312" w:hint="eastAsia"/>
          <w:color w:val="000000"/>
          <w:sz w:val="32"/>
          <w:szCs w:val="32"/>
        </w:rPr>
        <w:t>谋划实施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220KV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壶泉站、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110KV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广灵站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，全面优化升级农村电网。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加快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5G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基站建设</w:t>
      </w:r>
      <w:r>
        <w:rPr>
          <w:rFonts w:eastAsia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提升农村网络覆盖水平，</w:t>
      </w:r>
      <w:r>
        <w:rPr>
          <w:rFonts w:eastAsia="仿宋_GB2312" w:hint="eastAsia"/>
          <w:color w:val="000000"/>
          <w:sz w:val="32"/>
          <w:szCs w:val="32"/>
        </w:rPr>
        <w:t>推动城市管理向智能化、数字化迈进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强化城镇管理。</w:t>
      </w:r>
      <w:r>
        <w:rPr>
          <w:rFonts w:eastAsia="仿宋_GB2312" w:hint="eastAsia"/>
          <w:color w:val="000000"/>
          <w:sz w:val="32"/>
          <w:szCs w:val="32"/>
        </w:rPr>
        <w:t>高质量开展城市管理，持续改善市容市貌，整治私搭乱建、占道经营、噪音扰民等违规行为。</w:t>
      </w:r>
      <w:r>
        <w:rPr>
          <w:rFonts w:ascii="仿宋_GB2312" w:eastAsia="仿宋_GB2312" w:hAnsi="楷体_GB2312" w:cs="楷体_GB2312" w:hint="eastAsia"/>
          <w:sz w:val="32"/>
          <w:szCs w:val="32"/>
        </w:rPr>
        <w:t>坚持精细化人性化管理，抓好环境卫生、停车秩序、背街小巷和户外广告治理，深入推进生活垃圾分类处置，推动临时经营点、夜市摊点规范有序发展。进一步规范物业管理服务，促进物业管理与社区治理融合联动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打造宜居宜学宜业的魅力家园。</w:t>
      </w:r>
      <w:r>
        <w:rPr>
          <w:rFonts w:eastAsia="仿宋_GB2312" w:hint="eastAsia"/>
          <w:sz w:val="32"/>
          <w:szCs w:val="32"/>
        </w:rPr>
        <w:t>聚焦治理效能，</w:t>
      </w:r>
      <w:r>
        <w:rPr>
          <w:rStyle w:val="NormalCharacter"/>
          <w:rFonts w:eastAsia="仿宋_GB2312"/>
          <w:color w:val="000000"/>
          <w:sz w:val="32"/>
          <w:szCs w:val="32"/>
        </w:rPr>
        <w:t>探索德治法治自治融合的有效方式，积极动员广大群众共同参与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乡村</w:t>
      </w:r>
      <w:r>
        <w:rPr>
          <w:rStyle w:val="NormalCharacter"/>
          <w:rFonts w:eastAsia="仿宋_GB2312"/>
          <w:color w:val="000000"/>
          <w:sz w:val="32"/>
          <w:szCs w:val="32"/>
        </w:rPr>
        <w:t>建设，</w:t>
      </w:r>
      <w:r>
        <w:rPr>
          <w:rFonts w:eastAsia="仿宋_GB2312" w:hint="eastAsia"/>
          <w:sz w:val="32"/>
          <w:szCs w:val="32"/>
        </w:rPr>
        <w:t>引导全县群众贺喜庆祝有分寸、丧葬风俗有尺度，</w:t>
      </w:r>
      <w:r>
        <w:rPr>
          <w:rStyle w:val="NormalCharacter"/>
          <w:rFonts w:eastAsia="仿宋_GB2312"/>
          <w:color w:val="000000"/>
          <w:sz w:val="32"/>
          <w:szCs w:val="32"/>
        </w:rPr>
        <w:t>形成共建共享的良好氛围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（七）坚持普惠共享，改善民生福祉水平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扎实办好民生实事。</w:t>
      </w:r>
      <w:r>
        <w:rPr>
          <w:rFonts w:ascii="仿宋_GB2312" w:eastAsia="仿宋_GB2312" w:hAnsi="楷体_GB2312" w:cs="楷体_GB2312" w:hint="eastAsia"/>
          <w:sz w:val="32"/>
          <w:szCs w:val="32"/>
        </w:rPr>
        <w:t>全面完成省市重点民生实事任务和政府承诺实事。全面落实稳岗扩岗政策措施，做实做细就业创业服务，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lang w:bidi="zh-CN"/>
        </w:rPr>
        <w:t>做大做强“广灵巧娘”“广灵雕工”劳务品牌，深入实施“技能人才”培训，</w:t>
      </w:r>
      <w:r>
        <w:rPr>
          <w:rFonts w:ascii="仿宋_GB2312" w:eastAsia="仿宋_GB2312" w:hAnsi="楷体_GB2312" w:cs="楷体_GB2312" w:hint="eastAsia"/>
          <w:sz w:val="32"/>
          <w:szCs w:val="32"/>
        </w:rPr>
        <w:t>千方百计帮助高校毕业生、农民工、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lang w:bidi="zh-CN"/>
        </w:rPr>
        <w:t>下岗失业人员、退役军人、</w:t>
      </w:r>
      <w:r>
        <w:rPr>
          <w:rFonts w:ascii="仿宋_GB2312" w:eastAsia="仿宋_GB2312" w:hAnsi="楷体_GB2312" w:cs="楷体_GB2312" w:hint="eastAsia"/>
          <w:sz w:val="32"/>
          <w:szCs w:val="32"/>
        </w:rPr>
        <w:t>就业困难人员等重点群体就业创业。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完善城乡最低生活保障、大病医疗救助、</w:t>
      </w:r>
      <w:r>
        <w:rPr>
          <w:rFonts w:ascii="仿宋_GB2312" w:eastAsia="仿宋_GB2312" w:hAnsi="仿宋_GB2312" w:cs="仿宋_GB2312" w:hint="eastAsia"/>
          <w:sz w:val="32"/>
          <w:szCs w:val="32"/>
        </w:rPr>
        <w:t>特困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养、优抚对象救助、孤儿救助、灾民生活救济等救助制度，</w:t>
      </w:r>
      <w:r>
        <w:rPr>
          <w:rFonts w:ascii="仿宋_GB2312" w:eastAsia="仿宋_GB2312" w:hAnsi="仿宋_GB2312" w:cs="仿宋_GB2312" w:hint="eastAsia"/>
          <w:color w:val="000000" w:themeColor="text1"/>
          <w:kern w:val="21"/>
          <w:sz w:val="32"/>
          <w:szCs w:val="32"/>
        </w:rPr>
        <w:t>努力实现各类人员和群体应保尽保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。全力做好粮食、食用油、生猪、蔬菜等重要民生商品的保供稳价工作。</w:t>
      </w:r>
      <w:r>
        <w:rPr>
          <w:rFonts w:ascii="仿宋_GB2312" w:eastAsia="仿宋_GB2312" w:hAnsi="楷体_GB2312" w:cs="楷体_GB2312" w:hint="eastAsia"/>
          <w:sz w:val="32"/>
          <w:szCs w:val="32"/>
        </w:rPr>
        <w:t>大力发展银发经济，努力满足老年人在养老、健康、精神文化生活、社会参与等方面的现实需求。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大力建设教育强县。</w:t>
      </w:r>
      <w:r>
        <w:rPr>
          <w:rFonts w:ascii="仿宋_GB2312" w:eastAsia="仿宋_GB2312" w:hAnsi="楷体_GB2312" w:cs="楷体_GB2312" w:hint="eastAsia"/>
          <w:sz w:val="32"/>
          <w:szCs w:val="32"/>
        </w:rPr>
        <w:t>深入推进名校、名师、名校长建设，办好人民满意教育。加大</w:t>
      </w:r>
      <w:r>
        <w:rPr>
          <w:rStyle w:val="NormalCharacter"/>
          <w:rFonts w:eastAsia="仿宋_GB2312"/>
          <w:color w:val="000000"/>
          <w:kern w:val="21"/>
          <w:sz w:val="32"/>
          <w:szCs w:val="32"/>
        </w:rPr>
        <w:t>教师</w:t>
      </w:r>
      <w:r>
        <w:rPr>
          <w:rStyle w:val="NormalCharacter"/>
          <w:rFonts w:eastAsia="仿宋_GB2312"/>
          <w:color w:val="000000"/>
          <w:sz w:val="32"/>
          <w:szCs w:val="32"/>
        </w:rPr>
        <w:t>招</w:t>
      </w:r>
      <w:r>
        <w:rPr>
          <w:rStyle w:val="NormalCharacter"/>
          <w:rFonts w:eastAsia="仿宋_GB2312"/>
          <w:color w:val="000000"/>
          <w:kern w:val="21"/>
          <w:sz w:val="32"/>
          <w:szCs w:val="32"/>
        </w:rPr>
        <w:t>聘力度，强化广灵籍在外教师回引</w:t>
      </w:r>
      <w:r>
        <w:rPr>
          <w:rStyle w:val="NormalCharacter"/>
          <w:rFonts w:eastAsia="仿宋_GB2312" w:hint="eastAsia"/>
          <w:color w:val="000000"/>
          <w:kern w:val="21"/>
          <w:sz w:val="32"/>
          <w:szCs w:val="32"/>
        </w:rPr>
        <w:t>，</w:t>
      </w:r>
      <w:r>
        <w:rPr>
          <w:rStyle w:val="NormalCharacter"/>
          <w:rFonts w:eastAsia="仿宋_GB2312"/>
          <w:color w:val="000000"/>
          <w:sz w:val="32"/>
          <w:szCs w:val="32"/>
        </w:rPr>
        <w:t>有效缓解中小学教师结构性短缺问题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。持续优化教学资源配置，推动</w:t>
      </w:r>
      <w:r>
        <w:rPr>
          <w:rStyle w:val="NormalCharacter"/>
          <w:rFonts w:eastAsia="仿宋_GB2312" w:hint="eastAsia"/>
          <w:sz w:val="32"/>
          <w:szCs w:val="32"/>
        </w:rPr>
        <w:t>新城新建初中项目建成投用，加快华电希望小学扩建项目建设进度，谋划实</w:t>
      </w:r>
      <w:r>
        <w:rPr>
          <w:rStyle w:val="NormalCharacter"/>
          <w:rFonts w:eastAsia="仿宋_GB2312" w:hint="eastAsia"/>
          <w:sz w:val="32"/>
          <w:szCs w:val="32"/>
        </w:rPr>
        <w:t>施广灵三中学生公寓楼新建项目，有序撤并殷家庄小学、东崖头小学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所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乡村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小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学。统筹推进义务教育、高中教育、职业教育系统发展，加大教师培训、教师交流、师德师风建设力度，完善校长、教师奖惩、评估、考核等管理机制，</w:t>
      </w:r>
      <w:r>
        <w:rPr>
          <w:rFonts w:ascii="仿宋_GB2312" w:eastAsia="仿宋_GB2312" w:hAnsi="楷体_GB2312" w:cs="楷体_GB2312" w:hint="eastAsia"/>
          <w:sz w:val="32"/>
          <w:szCs w:val="32"/>
        </w:rPr>
        <w:t>减轻教师非教育教学负担，加强学生心理健康教育，抓好校园安全监管，</w:t>
      </w:r>
      <w:r>
        <w:rPr>
          <w:rStyle w:val="NormalCharacter"/>
          <w:rFonts w:eastAsia="仿宋_GB2312" w:hint="eastAsia"/>
          <w:color w:val="000000"/>
          <w:sz w:val="32"/>
          <w:szCs w:val="32"/>
        </w:rPr>
        <w:t>促进教育质量提升。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加快健康广灵建设。</w:t>
      </w:r>
      <w:r>
        <w:rPr>
          <w:rStyle w:val="NormalCharacter"/>
          <w:rFonts w:eastAsia="仿宋_GB2312"/>
          <w:color w:val="000000"/>
          <w:kern w:val="21"/>
          <w:sz w:val="32"/>
          <w:szCs w:val="32"/>
        </w:rPr>
        <w:t>持续深化县域医疗卫生一体化改革，</w:t>
      </w:r>
      <w:r>
        <w:rPr>
          <w:rFonts w:ascii="仿宋_GB2312" w:eastAsia="仿宋_GB2312" w:hAnsi="楷体_GB2312" w:cs="楷体_GB2312" w:hint="eastAsia"/>
          <w:sz w:val="32"/>
          <w:szCs w:val="32"/>
        </w:rPr>
        <w:t>做实乡村医生分级管理、家庭医生签约服务、分级诊疗工作，</w:t>
      </w:r>
      <w:r>
        <w:rPr>
          <w:rFonts w:eastAsia="仿宋_GB2312" w:cs="仿宋_GB2312" w:hint="eastAsia"/>
          <w:color w:val="000000"/>
          <w:sz w:val="32"/>
          <w:szCs w:val="32"/>
        </w:rPr>
        <w:t>提高基层防病治病和健康管理能力。深化与省市三甲医院的合作，持续发挥“名医工作站”作用，提升医技服务“软实力”</w:t>
      </w:r>
      <w:r>
        <w:rPr>
          <w:rFonts w:ascii="仿宋_GB2312" w:eastAsia="仿宋_GB2312" w:hAnsi="楷体_GB2312" w:cs="楷体_GB2312" w:hint="eastAsia"/>
          <w:sz w:val="32"/>
          <w:szCs w:val="32"/>
        </w:rPr>
        <w:t>。</w:t>
      </w:r>
      <w:r>
        <w:rPr>
          <w:rStyle w:val="NormalCharacter"/>
          <w:rFonts w:eastAsia="仿宋_GB2312"/>
          <w:color w:val="000000"/>
          <w:kern w:val="21"/>
          <w:sz w:val="32"/>
          <w:szCs w:val="32"/>
        </w:rPr>
        <w:t>加快县人民医院改扩建</w:t>
      </w:r>
      <w:r>
        <w:rPr>
          <w:rStyle w:val="NormalCharacter"/>
          <w:rFonts w:eastAsia="仿宋_GB2312" w:hint="eastAsia"/>
          <w:color w:val="000000"/>
          <w:kern w:val="21"/>
          <w:sz w:val="32"/>
          <w:szCs w:val="32"/>
        </w:rPr>
        <w:t>、</w:t>
      </w:r>
      <w:r>
        <w:rPr>
          <w:rStyle w:val="NormalCharacter"/>
          <w:rFonts w:eastAsia="仿宋_GB2312"/>
          <w:color w:val="000000"/>
          <w:kern w:val="21"/>
          <w:sz w:val="32"/>
          <w:szCs w:val="32"/>
        </w:rPr>
        <w:t>公共卫生防控救治能力提升</w:t>
      </w:r>
      <w:r>
        <w:rPr>
          <w:rStyle w:val="NormalCharacter"/>
          <w:rFonts w:eastAsia="仿宋_GB2312" w:hint="eastAsia"/>
          <w:color w:val="000000"/>
          <w:kern w:val="21"/>
          <w:sz w:val="32"/>
          <w:szCs w:val="32"/>
        </w:rPr>
        <w:t>、</w:t>
      </w:r>
      <w:r>
        <w:rPr>
          <w:rStyle w:val="NormalCharacter"/>
          <w:rFonts w:eastAsia="仿宋_GB2312"/>
          <w:color w:val="000000"/>
          <w:kern w:val="21"/>
          <w:sz w:val="32"/>
          <w:szCs w:val="32"/>
        </w:rPr>
        <w:t>优质医疗资源扩容下沉等投资项目建设</w:t>
      </w:r>
      <w:r>
        <w:rPr>
          <w:rStyle w:val="NormalCharacter"/>
          <w:rFonts w:eastAsia="仿宋_GB2312" w:hint="eastAsia"/>
          <w:color w:val="000000"/>
          <w:kern w:val="21"/>
          <w:sz w:val="32"/>
          <w:szCs w:val="32"/>
        </w:rPr>
        <w:t>，</w:t>
      </w:r>
      <w:r>
        <w:rPr>
          <w:rStyle w:val="NormalCharacter"/>
          <w:rFonts w:eastAsia="仿宋_GB2312"/>
          <w:color w:val="000000"/>
          <w:kern w:val="21"/>
          <w:sz w:val="32"/>
          <w:szCs w:val="32"/>
        </w:rPr>
        <w:t>着力提升医疗服务能力</w:t>
      </w:r>
      <w:r>
        <w:rPr>
          <w:rStyle w:val="NormalCharacter"/>
          <w:rFonts w:eastAsia="仿宋_GB2312" w:hint="eastAsia"/>
          <w:color w:val="000000"/>
          <w:kern w:val="21"/>
          <w:sz w:val="32"/>
          <w:szCs w:val="32"/>
        </w:rPr>
        <w:t>。</w:t>
      </w:r>
      <w:r>
        <w:rPr>
          <w:rFonts w:ascii="仿宋_GB2312" w:eastAsia="仿宋_GB2312" w:hAnsi="楷体_GB2312" w:cs="楷体_GB2312" w:hint="eastAsia"/>
          <w:sz w:val="32"/>
          <w:szCs w:val="32"/>
        </w:rPr>
        <w:t>深入开展爱国卫生运动，全面落实生育支持政策。</w:t>
      </w:r>
    </w:p>
    <w:p w:rsidR="00FC0A19" w:rsidRDefault="003826EE">
      <w:pPr>
        <w:spacing w:line="600" w:lineRule="exact"/>
        <w:ind w:firstLineChars="200" w:firstLine="643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lastRenderedPageBreak/>
        <w:t>丰富群众精神文化。</w:t>
      </w:r>
      <w:r>
        <w:rPr>
          <w:rFonts w:ascii="仿宋_GB2312" w:eastAsia="仿宋_GB2312" w:hAnsi="楷体_GB2312" w:cs="楷体_GB2312" w:hint="eastAsia"/>
          <w:sz w:val="32"/>
          <w:szCs w:val="32"/>
        </w:rPr>
        <w:t>深入践行社会主义核心价值观，深化群众性精神文明创建。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持续落实“五个一批”群众文化惠民工程，加快推动文化馆、图书馆提标升级，进一步完善公共文化服务体系建设，继续组织好免费送戏下乡及其他丰富多彩的文艺展演活动</w:t>
      </w:r>
      <w:r>
        <w:rPr>
          <w:rFonts w:ascii="仿宋_GB2312" w:eastAsia="仿宋_GB2312" w:hAnsi="楷体_GB2312" w:cs="楷体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不断提升非遗和文物保护传承利用水平，加快文创产品开发，提升广灵文化内涵。大力发展全民健身事业，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lang w:bidi="zh-CN"/>
        </w:rPr>
        <w:t>实施全民健身工程，开展全民健身活动和赛事，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提高群众健康素质。</w:t>
      </w:r>
      <w:r>
        <w:rPr>
          <w:rFonts w:ascii="仿宋_GB2312" w:eastAsia="仿宋_GB2312" w:hAnsi="楷体_GB2312" w:cs="楷体_GB2312" w:hint="eastAsia"/>
          <w:sz w:val="32"/>
          <w:szCs w:val="32"/>
        </w:rPr>
        <w:t>高质量完成第五次全国经济普查。更好发挥工会、共青团、妇联、红十字会等群团组织和社会组织桥梁纽带作用。推动民族宗教、侨务、住房公积金、地方志、档案、气象等事业高质量发展。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（八）保护生态环境，绘就绿色广灵画卷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推进污染防治攻坚。</w:t>
      </w:r>
      <w:r>
        <w:rPr>
          <w:rFonts w:ascii="仿宋_GB2312" w:eastAsia="仿宋_GB2312" w:hAnsi="楷体_GB2312" w:cs="楷体_GB2312" w:hint="eastAsia"/>
          <w:sz w:val="32"/>
          <w:szCs w:val="32"/>
        </w:rPr>
        <w:t>深入打好蓝天、碧水、净土保卫战，持续改善生态环境。全面实施“守护蓝天”攻坚行动，重点抓好超标排污、重污染天气应对，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实现细颗粒物与臭氧“双控双减”，确保全县优良天数保持在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300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天以上，提升“广灵蓝”品质。</w:t>
      </w:r>
      <w:r>
        <w:rPr>
          <w:rFonts w:ascii="仿宋_GB2312" w:eastAsia="仿宋_GB2312" w:hAnsi="楷体_GB2312" w:cs="楷体_GB2312" w:hint="eastAsia"/>
          <w:sz w:val="32"/>
          <w:szCs w:val="32"/>
        </w:rPr>
        <w:t>落实河湖长制，</w:t>
      </w:r>
      <w:r>
        <w:rPr>
          <w:rStyle w:val="NormalCharacter"/>
          <w:rFonts w:eastAsia="仿宋_GB2312"/>
          <w:sz w:val="32"/>
          <w:szCs w:val="32"/>
        </w:rPr>
        <w:t>统筹做好水环境</w:t>
      </w:r>
      <w:r>
        <w:rPr>
          <w:rStyle w:val="NormalCharacter"/>
          <w:sz w:val="32"/>
          <w:szCs w:val="32"/>
        </w:rPr>
        <w:t>“</w:t>
      </w:r>
      <w:r>
        <w:rPr>
          <w:rStyle w:val="NormalCharacter"/>
          <w:rFonts w:eastAsia="仿宋_GB2312"/>
          <w:sz w:val="32"/>
          <w:szCs w:val="32"/>
        </w:rPr>
        <w:t>建、管、治</w:t>
      </w:r>
      <w:r>
        <w:rPr>
          <w:rStyle w:val="NormalCharacter"/>
          <w:sz w:val="32"/>
          <w:szCs w:val="32"/>
        </w:rPr>
        <w:t>”</w:t>
      </w:r>
      <w:r>
        <w:rPr>
          <w:rStyle w:val="NormalCharacter"/>
          <w:rFonts w:eastAsia="仿宋_GB2312"/>
          <w:sz w:val="32"/>
          <w:szCs w:val="32"/>
        </w:rPr>
        <w:t>各项措施，</w:t>
      </w:r>
      <w:r>
        <w:rPr>
          <w:rFonts w:ascii="仿宋_GB2312" w:eastAsia="仿宋_GB2312" w:hAnsi="楷体_GB2312" w:cs="楷体_GB2312" w:hint="eastAsia"/>
          <w:sz w:val="32"/>
          <w:szCs w:val="32"/>
        </w:rPr>
        <w:t>加强重点流域河</w:t>
      </w:r>
      <w:r>
        <w:rPr>
          <w:rFonts w:ascii="仿宋_GB2312" w:eastAsia="仿宋_GB2312" w:hAnsi="楷体_GB2312" w:cs="楷体_GB2312" w:hint="eastAsia"/>
          <w:sz w:val="32"/>
          <w:szCs w:val="32"/>
        </w:rPr>
        <w:t>域治理，严格河道采砂管理，统筹推进</w:t>
      </w:r>
      <w:r>
        <w:rPr>
          <w:rStyle w:val="NormalCharacter"/>
          <w:rFonts w:eastAsia="仿宋_GB2312"/>
          <w:sz w:val="32"/>
          <w:szCs w:val="32"/>
        </w:rPr>
        <w:t>水神堂水源置换</w:t>
      </w:r>
      <w:r>
        <w:rPr>
          <w:rStyle w:val="NormalCharacter"/>
          <w:sz w:val="32"/>
          <w:szCs w:val="32"/>
        </w:rPr>
        <w:t>、</w:t>
      </w:r>
      <w:r>
        <w:rPr>
          <w:rStyle w:val="NormalCharacter"/>
          <w:rFonts w:eastAsia="仿宋_GB2312"/>
          <w:sz w:val="32"/>
          <w:szCs w:val="32"/>
        </w:rPr>
        <w:t>望狐涧小流域综合治理等项目，</w:t>
      </w:r>
      <w:r>
        <w:rPr>
          <w:rFonts w:ascii="仿宋_GB2312" w:eastAsia="仿宋_GB2312" w:hAnsi="楷体_GB2312" w:cs="楷体_GB2312" w:hint="eastAsia"/>
          <w:sz w:val="32"/>
          <w:szCs w:val="32"/>
        </w:rPr>
        <w:t>分类推进入河排污口整治，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确保地表水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V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类标准、城镇集中式饮用水源地水质达标</w:t>
      </w:r>
      <w:r>
        <w:rPr>
          <w:rFonts w:ascii="仿宋_GB2312" w:eastAsia="仿宋_GB2312" w:hAnsi="楷体_GB2312" w:cs="楷体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完善土壤污染防治体系，持续推进土壤污染详查、危险废物环境安全风险隐患大排查大整治、农村污水治理和农村环境综合整治，</w:t>
      </w:r>
      <w:r>
        <w:rPr>
          <w:rFonts w:eastAsia="仿宋_GB2312" w:hint="eastAsia"/>
          <w:color w:val="000000"/>
          <w:sz w:val="32"/>
          <w:szCs w:val="32"/>
        </w:rPr>
        <w:t>继续推进生活垃圾分类处</w:t>
      </w:r>
      <w:r>
        <w:rPr>
          <w:rFonts w:eastAsia="仿宋_GB2312" w:hint="eastAsia"/>
          <w:color w:val="000000"/>
          <w:sz w:val="32"/>
          <w:szCs w:val="32"/>
        </w:rPr>
        <w:lastRenderedPageBreak/>
        <w:t>置，提高固体废物资源化利用水平，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确保全县土壤环境质量总体保持稳定。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强化生态系统治理。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推进山水林田湖草沙一体化保护和修复工程。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深入推进坡耕地水土流失综合治理，扎实做好非煤矿山和</w:t>
      </w:r>
      <w:r>
        <w:rPr>
          <w:rFonts w:ascii="仿宋_GB2312" w:eastAsia="仿宋_GB2312" w:hAnsi="仿宋_GB2312" w:cs="仿宋_GB2312" w:hint="eastAsia"/>
          <w:sz w:val="32"/>
          <w:szCs w:val="32"/>
        </w:rPr>
        <w:t>历史遗留矿山生态修复。严格落实林长制，强化林草湿资源保护。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有序推进国土绿化彩化财化行动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紧抓广灵列入“三北六期”工程区域机遇，积极申报三北工程中央财政林草湿荒一体化保护修复项目，完成人工造林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万亩，封山育林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万亩，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打造护卫京津冀绿色生态屏障之“域美广灵”。</w:t>
      </w:r>
    </w:p>
    <w:p w:rsidR="00FC0A19" w:rsidRDefault="003826EE">
      <w:pPr>
        <w:spacing w:line="600" w:lineRule="exact"/>
        <w:ind w:firstLineChars="200" w:firstLine="643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加快绿色低碳转型。</w:t>
      </w:r>
      <w:r>
        <w:rPr>
          <w:rFonts w:ascii="仿宋_GB2312" w:eastAsia="仿宋_GB2312" w:hAnsi="楷体_GB2312" w:cs="楷体_GB2312" w:hint="eastAsia"/>
          <w:sz w:val="32"/>
          <w:szCs w:val="32"/>
        </w:rPr>
        <w:t>严把“两高”项目准入关，有序淘汰落后产能、推动节能降碳改造，推进工业、建筑、交通等领域清洁低碳转型。加快新能源汽车充换电等基础设施布局与建设。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完善生态环境教育机制，健全环境信息公开制度，进一步增强全民生态环境保护意识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倡导文明、节约、绿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色、低碳的生产方式、消费模式和出行方式，努力</w:t>
      </w:r>
      <w:r>
        <w:rPr>
          <w:rFonts w:ascii="仿宋_GB2312" w:eastAsia="仿宋_GB2312" w:hAnsi="楷体_GB2312" w:cs="楷体_GB2312" w:hint="eastAsia"/>
          <w:sz w:val="32"/>
          <w:szCs w:val="32"/>
        </w:rPr>
        <w:t>打造一批绿色低碳机关、校园、社区。</w:t>
      </w:r>
    </w:p>
    <w:p w:rsidR="00FC0A19" w:rsidRDefault="003826EE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（九）加强平安建设，营造安全稳定局面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筑牢安全生产防线。</w:t>
      </w:r>
      <w:r>
        <w:rPr>
          <w:rFonts w:ascii="仿宋_GB2312" w:eastAsia="仿宋_GB2312" w:hAnsi="楷体_GB2312" w:cs="楷体_GB2312" w:hint="eastAsia"/>
          <w:sz w:val="32"/>
          <w:szCs w:val="32"/>
        </w:rPr>
        <w:t>压紧压实安全生产“四方责任”，深化重点领域隐患排查整治，深入开展安全开展道路交通、城镇燃气、非煤矿山、消防等重点领域隐患排查治理专项行动，坚决守住不发生较大及以上生产安全事故和森林火灾的底线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减少一般事故</w:t>
      </w:r>
      <w:r>
        <w:rPr>
          <w:rFonts w:ascii="仿宋_GB2312" w:eastAsia="仿宋_GB2312" w:hAnsi="楷体_GB2312" w:cs="楷体_GB2312" w:hint="eastAsia"/>
          <w:sz w:val="32"/>
          <w:szCs w:val="32"/>
        </w:rPr>
        <w:t>。立足防大汛抗大灾，抓好极端天气、洪涝干旱、地震、地质灾害等监测预警，</w:t>
      </w:r>
      <w:r>
        <w:rPr>
          <w:rStyle w:val="NormalCharacter"/>
          <w:rFonts w:eastAsia="仿宋_GB2312"/>
          <w:color w:val="000000"/>
          <w:sz w:val="32"/>
          <w:szCs w:val="32"/>
        </w:rPr>
        <w:t>加强应急队伍、物</w:t>
      </w:r>
      <w:r>
        <w:rPr>
          <w:rStyle w:val="NormalCharacter"/>
          <w:rFonts w:eastAsia="仿宋_GB2312"/>
          <w:color w:val="000000"/>
          <w:sz w:val="32"/>
          <w:szCs w:val="32"/>
        </w:rPr>
        <w:lastRenderedPageBreak/>
        <w:t>资保障和信息化建设，提高防灾减灾救灾能力，构筑全流程、多层次、广覆盖的安全防护网。</w:t>
      </w:r>
    </w:p>
    <w:p w:rsidR="00FC0A19" w:rsidRDefault="003826EE">
      <w:pPr>
        <w:spacing w:line="600" w:lineRule="exact"/>
        <w:ind w:firstLineChars="200" w:firstLine="643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防</w:t>
      </w:r>
      <w:r>
        <w:rPr>
          <w:rFonts w:ascii="仿宋_GB2312" w:eastAsia="仿宋_GB2312" w:hAnsi="楷体_GB2312" w:cs="楷体_GB2312" w:hint="eastAsia"/>
          <w:b/>
          <w:sz w:val="32"/>
          <w:szCs w:val="32"/>
        </w:rPr>
        <w:t>范化解重大风险。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推动隐性债务置换，持续推进降息减债，确保资金不断链、债务不爆雷、风险事件不发生。严厉打击非法吸收公众存款、集资诈骗等非法金融活动。扎实做好“保交楼”工作，落实支持房地产发展政策措施，更好支持刚性和改善性住房需求，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有效防范化解房地产领域风险。强化食品药品监管，守护群众“舌尖上的安全”。</w:t>
      </w:r>
    </w:p>
    <w:p w:rsidR="00FC0A19" w:rsidRDefault="003826EE">
      <w:pPr>
        <w:spacing w:line="600" w:lineRule="exact"/>
        <w:ind w:firstLineChars="200" w:firstLine="643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sz w:val="32"/>
          <w:szCs w:val="32"/>
        </w:rPr>
        <w:t>完善社会治理体系。</w:t>
      </w:r>
      <w:r>
        <w:rPr>
          <w:rFonts w:ascii="仿宋_GB2312" w:eastAsia="仿宋_GB2312" w:hAnsi="楷体_GB2312" w:cs="楷体_GB2312" w:hint="eastAsia"/>
          <w:sz w:val="32"/>
          <w:szCs w:val="32"/>
        </w:rPr>
        <w:t>坚持和发展新时代“枫桥经验”，全面推进信访工作法治化，深化风险隐患源头治理，常态化推进领导干部下沉接访，努力把矛盾纠纷化解在基层、解决在萌芽状态。以创建平安广灵为抓手，常态化推进扫黑除恶斗争，坚决防范和打击各类违法犯罪，依法加快涉众历史遗留问题处理，着力建设更高水平的平安广灵、法治广灵。</w:t>
      </w:r>
    </w:p>
    <w:p w:rsidR="00FC0A19" w:rsidRDefault="003826EE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各位代表，做好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年经济社会发展工作意义重大，任务艰巨。让我们在县委、县政府的坚强领导下，在县人大、县政协的监督支持下，以担当实干的精神、抓铁有痕的干劲，勇立潮头、奋发笃行，努力完成既定的各项目标任务，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为建设“宜居宜学</w:t>
      </w:r>
      <w:r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宜业、县强民富域美”的现代化新广灵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作出新的更大的贡献！</w:t>
      </w:r>
    </w:p>
    <w:sectPr w:rsidR="00FC0A19" w:rsidSect="00FC0A19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6EE" w:rsidRDefault="003826EE" w:rsidP="00FC0A19">
      <w:r>
        <w:separator/>
      </w:r>
    </w:p>
  </w:endnote>
  <w:endnote w:type="continuationSeparator" w:id="1">
    <w:p w:rsidR="003826EE" w:rsidRDefault="003826EE" w:rsidP="00FC0A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A19" w:rsidRDefault="00FC0A19">
    <w:pPr>
      <w:pStyle w:val="a7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DOqXm5zwAAAAUBAAAPAAAAAAAA&#10;AAEAIAAAADgAAABkcnMvZG93bnJldi54bWxQSwECFAAUAAAACACHTuJAF0mU5cwBAACnAwAADgAA&#10;AAAAAAABACAAAAA0AQAAZHJzL2Uyb0RvYy54bWxQSwUGAAAAAAYABgBZAQAAcgUAAAAA&#10;" filled="f" stroked="f">
          <v:textbox style="mso-fit-shape-to-text:t" inset="0,0,0,0">
            <w:txbxContent>
              <w:p w:rsidR="00FC0A19" w:rsidRDefault="00FC0A19">
                <w:pPr>
                  <w:pStyle w:val="a7"/>
                </w:pPr>
                <w:r>
                  <w:fldChar w:fldCharType="begin"/>
                </w:r>
                <w:r w:rsidR="003826EE">
                  <w:instrText xml:space="preserve"> PAGE  \* MERGEFORMAT </w:instrText>
                </w:r>
                <w:r>
                  <w:fldChar w:fldCharType="separate"/>
                </w:r>
                <w:r w:rsidR="006E135E">
                  <w:rPr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6EE" w:rsidRDefault="003826EE" w:rsidP="00FC0A19">
      <w:r>
        <w:separator/>
      </w:r>
    </w:p>
  </w:footnote>
  <w:footnote w:type="continuationSeparator" w:id="1">
    <w:p w:rsidR="003826EE" w:rsidRDefault="003826EE" w:rsidP="00FC0A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IxZTllMTAwODAwMmQ3MDllYjU2ZTFkMGU2MGJlNTQifQ=="/>
    <w:docVar w:name="KSO_WPS_MARK_KEY" w:val="7440995f-57c1-484a-841d-5c0b6332ce4e"/>
  </w:docVars>
  <w:rsids>
    <w:rsidRoot w:val="004D1D3F"/>
    <w:rsid w:val="B7CF6F3A"/>
    <w:rsid w:val="BA7F18FD"/>
    <w:rsid w:val="BBF5B073"/>
    <w:rsid w:val="BDCFE917"/>
    <w:rsid w:val="BEAF04F7"/>
    <w:rsid w:val="BF8F3EF7"/>
    <w:rsid w:val="BFB6728C"/>
    <w:rsid w:val="BFBB2802"/>
    <w:rsid w:val="BFEFA9B6"/>
    <w:rsid w:val="C5FDC33C"/>
    <w:rsid w:val="CBFFDEEA"/>
    <w:rsid w:val="CED7E829"/>
    <w:rsid w:val="CF6E065A"/>
    <w:rsid w:val="CFFC6554"/>
    <w:rsid w:val="D6DA7F26"/>
    <w:rsid w:val="D6FEB1BC"/>
    <w:rsid w:val="D9CFDF07"/>
    <w:rsid w:val="DBFF56A6"/>
    <w:rsid w:val="DDDF6BAE"/>
    <w:rsid w:val="DDDFC9A5"/>
    <w:rsid w:val="DDF5D1D0"/>
    <w:rsid w:val="DE547015"/>
    <w:rsid w:val="DEBFD4D4"/>
    <w:rsid w:val="DF7BCCA5"/>
    <w:rsid w:val="DF7EFB35"/>
    <w:rsid w:val="DFCA5DF1"/>
    <w:rsid w:val="DFFE73C2"/>
    <w:rsid w:val="E27F3E2E"/>
    <w:rsid w:val="EBFF44F8"/>
    <w:rsid w:val="EC737A4C"/>
    <w:rsid w:val="ED7DCECB"/>
    <w:rsid w:val="EDF30FE5"/>
    <w:rsid w:val="EDFF9DD3"/>
    <w:rsid w:val="EEBD37CC"/>
    <w:rsid w:val="EEEF12D0"/>
    <w:rsid w:val="EEFDA498"/>
    <w:rsid w:val="EF3F7B94"/>
    <w:rsid w:val="EF5DDBE9"/>
    <w:rsid w:val="EF7770BB"/>
    <w:rsid w:val="EF7F3258"/>
    <w:rsid w:val="EFBBBCEC"/>
    <w:rsid w:val="EFD3109A"/>
    <w:rsid w:val="EFFB2309"/>
    <w:rsid w:val="EFFF8459"/>
    <w:rsid w:val="F2D8AB1F"/>
    <w:rsid w:val="F2EDCA28"/>
    <w:rsid w:val="F3FB2767"/>
    <w:rsid w:val="F4739E24"/>
    <w:rsid w:val="F5B792D0"/>
    <w:rsid w:val="F5EF5C27"/>
    <w:rsid w:val="F657648C"/>
    <w:rsid w:val="F6FE4591"/>
    <w:rsid w:val="F7AD7E8C"/>
    <w:rsid w:val="F7DFC5F7"/>
    <w:rsid w:val="F7FFB2A4"/>
    <w:rsid w:val="F8FE9688"/>
    <w:rsid w:val="F96F8CCB"/>
    <w:rsid w:val="FB6F8E24"/>
    <w:rsid w:val="FB8A1360"/>
    <w:rsid w:val="FBBF39F3"/>
    <w:rsid w:val="FBCCE903"/>
    <w:rsid w:val="FBDF7412"/>
    <w:rsid w:val="FBF58283"/>
    <w:rsid w:val="FBFD62C8"/>
    <w:rsid w:val="FBFF6C7A"/>
    <w:rsid w:val="FC5AC503"/>
    <w:rsid w:val="FCFE0832"/>
    <w:rsid w:val="FCFE793B"/>
    <w:rsid w:val="FD1FCD45"/>
    <w:rsid w:val="FE0C6166"/>
    <w:rsid w:val="FE4B03A6"/>
    <w:rsid w:val="FE7DD88F"/>
    <w:rsid w:val="FEBFE834"/>
    <w:rsid w:val="FEE3C29D"/>
    <w:rsid w:val="FEEB8CA6"/>
    <w:rsid w:val="FF5F43F4"/>
    <w:rsid w:val="FF6FA90F"/>
    <w:rsid w:val="FF7EB53A"/>
    <w:rsid w:val="FFBFB9A7"/>
    <w:rsid w:val="FFDF9AB2"/>
    <w:rsid w:val="FFF34345"/>
    <w:rsid w:val="FFF9FA85"/>
    <w:rsid w:val="FFFB179F"/>
    <w:rsid w:val="00000C51"/>
    <w:rsid w:val="00011DC6"/>
    <w:rsid w:val="00020976"/>
    <w:rsid w:val="00041E1E"/>
    <w:rsid w:val="00043810"/>
    <w:rsid w:val="000439B8"/>
    <w:rsid w:val="00045C57"/>
    <w:rsid w:val="00056292"/>
    <w:rsid w:val="00064EB5"/>
    <w:rsid w:val="00072D7C"/>
    <w:rsid w:val="00073443"/>
    <w:rsid w:val="0008425C"/>
    <w:rsid w:val="0009536C"/>
    <w:rsid w:val="000C227D"/>
    <w:rsid w:val="00107E96"/>
    <w:rsid w:val="00112992"/>
    <w:rsid w:val="00124E5B"/>
    <w:rsid w:val="0015396C"/>
    <w:rsid w:val="00176533"/>
    <w:rsid w:val="0018274C"/>
    <w:rsid w:val="001936D9"/>
    <w:rsid w:val="001D07DD"/>
    <w:rsid w:val="001D0A0D"/>
    <w:rsid w:val="001D374E"/>
    <w:rsid w:val="001E195A"/>
    <w:rsid w:val="001E3652"/>
    <w:rsid w:val="002344C5"/>
    <w:rsid w:val="00240AF0"/>
    <w:rsid w:val="00282776"/>
    <w:rsid w:val="00283723"/>
    <w:rsid w:val="00287977"/>
    <w:rsid w:val="002D6F18"/>
    <w:rsid w:val="002E4BC2"/>
    <w:rsid w:val="002F2054"/>
    <w:rsid w:val="002F46C9"/>
    <w:rsid w:val="002F61FA"/>
    <w:rsid w:val="0030312C"/>
    <w:rsid w:val="00304849"/>
    <w:rsid w:val="0030769E"/>
    <w:rsid w:val="003209AB"/>
    <w:rsid w:val="0034124C"/>
    <w:rsid w:val="003826EE"/>
    <w:rsid w:val="003B0320"/>
    <w:rsid w:val="003B5DE4"/>
    <w:rsid w:val="003D13B8"/>
    <w:rsid w:val="003F2FD1"/>
    <w:rsid w:val="003F49A8"/>
    <w:rsid w:val="004027B2"/>
    <w:rsid w:val="004077C2"/>
    <w:rsid w:val="00432EB9"/>
    <w:rsid w:val="004358D9"/>
    <w:rsid w:val="004474AB"/>
    <w:rsid w:val="00463DE1"/>
    <w:rsid w:val="004701FA"/>
    <w:rsid w:val="004726A4"/>
    <w:rsid w:val="004A5ED4"/>
    <w:rsid w:val="004A7361"/>
    <w:rsid w:val="004B7444"/>
    <w:rsid w:val="004D1D3F"/>
    <w:rsid w:val="004F0690"/>
    <w:rsid w:val="00516835"/>
    <w:rsid w:val="00520897"/>
    <w:rsid w:val="00542C27"/>
    <w:rsid w:val="00551809"/>
    <w:rsid w:val="00572737"/>
    <w:rsid w:val="00574D7F"/>
    <w:rsid w:val="005B67BA"/>
    <w:rsid w:val="005F59F0"/>
    <w:rsid w:val="00600214"/>
    <w:rsid w:val="0060141B"/>
    <w:rsid w:val="00603903"/>
    <w:rsid w:val="00635FAE"/>
    <w:rsid w:val="00665823"/>
    <w:rsid w:val="00692AF6"/>
    <w:rsid w:val="00695009"/>
    <w:rsid w:val="006C60F7"/>
    <w:rsid w:val="006D01AA"/>
    <w:rsid w:val="006D034A"/>
    <w:rsid w:val="006D62AD"/>
    <w:rsid w:val="006E135E"/>
    <w:rsid w:val="006F19BE"/>
    <w:rsid w:val="00721160"/>
    <w:rsid w:val="00726864"/>
    <w:rsid w:val="00740F5C"/>
    <w:rsid w:val="0076173B"/>
    <w:rsid w:val="007A5B29"/>
    <w:rsid w:val="007D559A"/>
    <w:rsid w:val="007E683B"/>
    <w:rsid w:val="007F2034"/>
    <w:rsid w:val="00810F00"/>
    <w:rsid w:val="008538B8"/>
    <w:rsid w:val="0087276F"/>
    <w:rsid w:val="008C7A92"/>
    <w:rsid w:val="008D3A80"/>
    <w:rsid w:val="008E5E11"/>
    <w:rsid w:val="0093324F"/>
    <w:rsid w:val="0094622D"/>
    <w:rsid w:val="00947DB9"/>
    <w:rsid w:val="00964F0D"/>
    <w:rsid w:val="00983808"/>
    <w:rsid w:val="00993072"/>
    <w:rsid w:val="009A282B"/>
    <w:rsid w:val="009C34E0"/>
    <w:rsid w:val="009C7919"/>
    <w:rsid w:val="009D5AC3"/>
    <w:rsid w:val="009D5D8E"/>
    <w:rsid w:val="009E51E4"/>
    <w:rsid w:val="009E7272"/>
    <w:rsid w:val="009F145A"/>
    <w:rsid w:val="009F2CF9"/>
    <w:rsid w:val="009F7B7A"/>
    <w:rsid w:val="00A00C92"/>
    <w:rsid w:val="00A1093F"/>
    <w:rsid w:val="00A16661"/>
    <w:rsid w:val="00A449BC"/>
    <w:rsid w:val="00A83612"/>
    <w:rsid w:val="00A9234A"/>
    <w:rsid w:val="00AF261E"/>
    <w:rsid w:val="00AF5F8E"/>
    <w:rsid w:val="00AF6A26"/>
    <w:rsid w:val="00B10A3C"/>
    <w:rsid w:val="00B375EC"/>
    <w:rsid w:val="00B568AC"/>
    <w:rsid w:val="00B57AA1"/>
    <w:rsid w:val="00B60049"/>
    <w:rsid w:val="00B8455B"/>
    <w:rsid w:val="00B96A20"/>
    <w:rsid w:val="00BA09DA"/>
    <w:rsid w:val="00BA3C86"/>
    <w:rsid w:val="00BA557B"/>
    <w:rsid w:val="00BB52B7"/>
    <w:rsid w:val="00BF60AB"/>
    <w:rsid w:val="00C31C7C"/>
    <w:rsid w:val="00C42886"/>
    <w:rsid w:val="00C7351E"/>
    <w:rsid w:val="00C76FA7"/>
    <w:rsid w:val="00C92C7C"/>
    <w:rsid w:val="00CB1371"/>
    <w:rsid w:val="00CB3C62"/>
    <w:rsid w:val="00CE6850"/>
    <w:rsid w:val="00CF08E9"/>
    <w:rsid w:val="00D17B8E"/>
    <w:rsid w:val="00D231FF"/>
    <w:rsid w:val="00D437B5"/>
    <w:rsid w:val="00DF0244"/>
    <w:rsid w:val="00DF1A78"/>
    <w:rsid w:val="00DF3359"/>
    <w:rsid w:val="00E00B49"/>
    <w:rsid w:val="00E1650C"/>
    <w:rsid w:val="00E20764"/>
    <w:rsid w:val="00E35730"/>
    <w:rsid w:val="00E44849"/>
    <w:rsid w:val="00E46E8F"/>
    <w:rsid w:val="00E509AE"/>
    <w:rsid w:val="00E7565C"/>
    <w:rsid w:val="00E9391A"/>
    <w:rsid w:val="00EB7B49"/>
    <w:rsid w:val="00ED08E1"/>
    <w:rsid w:val="00EF452C"/>
    <w:rsid w:val="00EF7895"/>
    <w:rsid w:val="00EF7EE6"/>
    <w:rsid w:val="00F35AD2"/>
    <w:rsid w:val="00F44801"/>
    <w:rsid w:val="00F62835"/>
    <w:rsid w:val="00F9246C"/>
    <w:rsid w:val="00F93510"/>
    <w:rsid w:val="00FB01DD"/>
    <w:rsid w:val="00FC0A19"/>
    <w:rsid w:val="00FC191E"/>
    <w:rsid w:val="00FF6585"/>
    <w:rsid w:val="012B68C7"/>
    <w:rsid w:val="01687703"/>
    <w:rsid w:val="01A81D9E"/>
    <w:rsid w:val="01FB2325"/>
    <w:rsid w:val="026B5B76"/>
    <w:rsid w:val="02F34D3A"/>
    <w:rsid w:val="0357709F"/>
    <w:rsid w:val="037F3015"/>
    <w:rsid w:val="03B66504"/>
    <w:rsid w:val="04387860"/>
    <w:rsid w:val="04EB042F"/>
    <w:rsid w:val="058D6DA2"/>
    <w:rsid w:val="05BE1FE7"/>
    <w:rsid w:val="05F62F43"/>
    <w:rsid w:val="06110FFD"/>
    <w:rsid w:val="06563D22"/>
    <w:rsid w:val="065F10D4"/>
    <w:rsid w:val="076444C8"/>
    <w:rsid w:val="076F5347"/>
    <w:rsid w:val="07A0430C"/>
    <w:rsid w:val="082500FC"/>
    <w:rsid w:val="08307FB5"/>
    <w:rsid w:val="089D4136"/>
    <w:rsid w:val="08C276F9"/>
    <w:rsid w:val="08E50D92"/>
    <w:rsid w:val="08EC7130"/>
    <w:rsid w:val="090A73C3"/>
    <w:rsid w:val="094F4256"/>
    <w:rsid w:val="0A406EBD"/>
    <w:rsid w:val="0B310B66"/>
    <w:rsid w:val="0BB80875"/>
    <w:rsid w:val="0C016AED"/>
    <w:rsid w:val="0C1F4E62"/>
    <w:rsid w:val="0D22155F"/>
    <w:rsid w:val="0D3A117D"/>
    <w:rsid w:val="0D732931"/>
    <w:rsid w:val="0E8B0D8E"/>
    <w:rsid w:val="0E9D4E90"/>
    <w:rsid w:val="0FD025C4"/>
    <w:rsid w:val="10CD30DE"/>
    <w:rsid w:val="116E57B2"/>
    <w:rsid w:val="117556CB"/>
    <w:rsid w:val="117C56BD"/>
    <w:rsid w:val="11B036FF"/>
    <w:rsid w:val="11DB182B"/>
    <w:rsid w:val="122A233A"/>
    <w:rsid w:val="12433070"/>
    <w:rsid w:val="1252649B"/>
    <w:rsid w:val="128A3E26"/>
    <w:rsid w:val="12DE15D3"/>
    <w:rsid w:val="130F5C30"/>
    <w:rsid w:val="13124710"/>
    <w:rsid w:val="13710699"/>
    <w:rsid w:val="14150C68"/>
    <w:rsid w:val="14404441"/>
    <w:rsid w:val="14972381"/>
    <w:rsid w:val="14BA28E5"/>
    <w:rsid w:val="151826C8"/>
    <w:rsid w:val="15422EE9"/>
    <w:rsid w:val="155F7700"/>
    <w:rsid w:val="16005D69"/>
    <w:rsid w:val="16482398"/>
    <w:rsid w:val="16F75359"/>
    <w:rsid w:val="177A3728"/>
    <w:rsid w:val="17A50D36"/>
    <w:rsid w:val="17C65FB8"/>
    <w:rsid w:val="17DF5A67"/>
    <w:rsid w:val="17FF3EEA"/>
    <w:rsid w:val="184810EA"/>
    <w:rsid w:val="185556FD"/>
    <w:rsid w:val="18595F60"/>
    <w:rsid w:val="18846C0E"/>
    <w:rsid w:val="1934019F"/>
    <w:rsid w:val="199B21ED"/>
    <w:rsid w:val="1AB4546C"/>
    <w:rsid w:val="1AFF53E8"/>
    <w:rsid w:val="1B5776CB"/>
    <w:rsid w:val="1BB074A7"/>
    <w:rsid w:val="1BC934F8"/>
    <w:rsid w:val="1BE31EF1"/>
    <w:rsid w:val="1C6E32EC"/>
    <w:rsid w:val="1CD72651"/>
    <w:rsid w:val="1CFD0F69"/>
    <w:rsid w:val="1E16404C"/>
    <w:rsid w:val="1E720CEF"/>
    <w:rsid w:val="1E7D5CD7"/>
    <w:rsid w:val="1E827A99"/>
    <w:rsid w:val="1ED85A70"/>
    <w:rsid w:val="1EF949F7"/>
    <w:rsid w:val="1F010B23"/>
    <w:rsid w:val="1F2C3C4B"/>
    <w:rsid w:val="1F3D3B25"/>
    <w:rsid w:val="1F634DD9"/>
    <w:rsid w:val="1FE21636"/>
    <w:rsid w:val="1FF10E3E"/>
    <w:rsid w:val="1FFC12EA"/>
    <w:rsid w:val="1FFF1961"/>
    <w:rsid w:val="20120042"/>
    <w:rsid w:val="20871E3E"/>
    <w:rsid w:val="20BB49C9"/>
    <w:rsid w:val="21E428F2"/>
    <w:rsid w:val="21EF55AB"/>
    <w:rsid w:val="22120140"/>
    <w:rsid w:val="222D1C2F"/>
    <w:rsid w:val="2233612A"/>
    <w:rsid w:val="22A54F2C"/>
    <w:rsid w:val="22CE51C0"/>
    <w:rsid w:val="22D54C50"/>
    <w:rsid w:val="22E31C99"/>
    <w:rsid w:val="238E68C5"/>
    <w:rsid w:val="23B87C1E"/>
    <w:rsid w:val="23E97DD8"/>
    <w:rsid w:val="24084702"/>
    <w:rsid w:val="241F37F9"/>
    <w:rsid w:val="24A71DDC"/>
    <w:rsid w:val="24AA7567"/>
    <w:rsid w:val="24EC6ED5"/>
    <w:rsid w:val="257F9611"/>
    <w:rsid w:val="25F408CA"/>
    <w:rsid w:val="261A4413"/>
    <w:rsid w:val="262B0C7D"/>
    <w:rsid w:val="26CF59AB"/>
    <w:rsid w:val="27084686"/>
    <w:rsid w:val="277778D7"/>
    <w:rsid w:val="27B5694E"/>
    <w:rsid w:val="27C2106B"/>
    <w:rsid w:val="27C22E19"/>
    <w:rsid w:val="27DB633B"/>
    <w:rsid w:val="27FC1BB5"/>
    <w:rsid w:val="27FF87E7"/>
    <w:rsid w:val="28497097"/>
    <w:rsid w:val="28E75B67"/>
    <w:rsid w:val="291259B4"/>
    <w:rsid w:val="29425F48"/>
    <w:rsid w:val="29453572"/>
    <w:rsid w:val="294C0340"/>
    <w:rsid w:val="2964062C"/>
    <w:rsid w:val="298C1414"/>
    <w:rsid w:val="29DF4157"/>
    <w:rsid w:val="2A4E45E0"/>
    <w:rsid w:val="2ABE2850"/>
    <w:rsid w:val="2AF35F0B"/>
    <w:rsid w:val="2B157704"/>
    <w:rsid w:val="2B4107C1"/>
    <w:rsid w:val="2B5E72FD"/>
    <w:rsid w:val="2B894ABF"/>
    <w:rsid w:val="2C0F157F"/>
    <w:rsid w:val="2C7FF6E9"/>
    <w:rsid w:val="2CCF0CAC"/>
    <w:rsid w:val="2CD7FFEE"/>
    <w:rsid w:val="2CD957D4"/>
    <w:rsid w:val="2CFA2FB6"/>
    <w:rsid w:val="2D99286E"/>
    <w:rsid w:val="2DD42C52"/>
    <w:rsid w:val="2EE5617D"/>
    <w:rsid w:val="2EF5A9F6"/>
    <w:rsid w:val="2F407445"/>
    <w:rsid w:val="2F4A02C4"/>
    <w:rsid w:val="2F6E433C"/>
    <w:rsid w:val="2FEB0C02"/>
    <w:rsid w:val="2FFE869E"/>
    <w:rsid w:val="31067002"/>
    <w:rsid w:val="315A0567"/>
    <w:rsid w:val="31D245A1"/>
    <w:rsid w:val="320504D2"/>
    <w:rsid w:val="320D658E"/>
    <w:rsid w:val="33B938E7"/>
    <w:rsid w:val="34445E2E"/>
    <w:rsid w:val="345656C7"/>
    <w:rsid w:val="34FC0E26"/>
    <w:rsid w:val="355F375B"/>
    <w:rsid w:val="356913E0"/>
    <w:rsid w:val="356F3947"/>
    <w:rsid w:val="35830C72"/>
    <w:rsid w:val="35E76CF9"/>
    <w:rsid w:val="36080591"/>
    <w:rsid w:val="369B7657"/>
    <w:rsid w:val="36AB4E9E"/>
    <w:rsid w:val="36CA3A99"/>
    <w:rsid w:val="374941FB"/>
    <w:rsid w:val="378A405E"/>
    <w:rsid w:val="37A95DA4"/>
    <w:rsid w:val="37BC8F2A"/>
    <w:rsid w:val="37FBE8C6"/>
    <w:rsid w:val="3810372D"/>
    <w:rsid w:val="38A071A7"/>
    <w:rsid w:val="39025782"/>
    <w:rsid w:val="392F151F"/>
    <w:rsid w:val="39355B41"/>
    <w:rsid w:val="39754C6C"/>
    <w:rsid w:val="39A24859"/>
    <w:rsid w:val="39DE7F87"/>
    <w:rsid w:val="3A13613D"/>
    <w:rsid w:val="3A1D258A"/>
    <w:rsid w:val="3A5E7CCF"/>
    <w:rsid w:val="3A7FA8F4"/>
    <w:rsid w:val="3A9D78E9"/>
    <w:rsid w:val="3ABB0271"/>
    <w:rsid w:val="3AE31E49"/>
    <w:rsid w:val="3AFB6916"/>
    <w:rsid w:val="3B225C51"/>
    <w:rsid w:val="3B321223"/>
    <w:rsid w:val="3B7F22B6"/>
    <w:rsid w:val="3BE41738"/>
    <w:rsid w:val="3CA27317"/>
    <w:rsid w:val="3CC85730"/>
    <w:rsid w:val="3CFA54FF"/>
    <w:rsid w:val="3CFA6B1C"/>
    <w:rsid w:val="3D0C4E0B"/>
    <w:rsid w:val="3D37175C"/>
    <w:rsid w:val="3D3DA2ED"/>
    <w:rsid w:val="3D7529B0"/>
    <w:rsid w:val="3DBF7799"/>
    <w:rsid w:val="3DDF2ED7"/>
    <w:rsid w:val="3DF338D5"/>
    <w:rsid w:val="3DFF5A64"/>
    <w:rsid w:val="3E130E71"/>
    <w:rsid w:val="3E537487"/>
    <w:rsid w:val="3E5D16C9"/>
    <w:rsid w:val="3EEDBD24"/>
    <w:rsid w:val="3F1BD542"/>
    <w:rsid w:val="3F6A34E8"/>
    <w:rsid w:val="3F7B9E67"/>
    <w:rsid w:val="3F9F0A4A"/>
    <w:rsid w:val="3FA532F5"/>
    <w:rsid w:val="3FD7EB2F"/>
    <w:rsid w:val="3FDBF94C"/>
    <w:rsid w:val="3FDE7019"/>
    <w:rsid w:val="3FDFD176"/>
    <w:rsid w:val="3FF6672C"/>
    <w:rsid w:val="3FFD11AA"/>
    <w:rsid w:val="3FFF9C72"/>
    <w:rsid w:val="40776FE6"/>
    <w:rsid w:val="408E5B37"/>
    <w:rsid w:val="409E3C24"/>
    <w:rsid w:val="40DD41E9"/>
    <w:rsid w:val="411A1082"/>
    <w:rsid w:val="41807B75"/>
    <w:rsid w:val="421B789E"/>
    <w:rsid w:val="43DD3392"/>
    <w:rsid w:val="43ED0DC6"/>
    <w:rsid w:val="44C17397"/>
    <w:rsid w:val="45EA70E4"/>
    <w:rsid w:val="46252A99"/>
    <w:rsid w:val="467D0B27"/>
    <w:rsid w:val="46B0304F"/>
    <w:rsid w:val="46EA56DB"/>
    <w:rsid w:val="47727BCE"/>
    <w:rsid w:val="47B16CDB"/>
    <w:rsid w:val="47D5062C"/>
    <w:rsid w:val="47F47455"/>
    <w:rsid w:val="481604EB"/>
    <w:rsid w:val="484E277B"/>
    <w:rsid w:val="48651873"/>
    <w:rsid w:val="497801B9"/>
    <w:rsid w:val="49CA57FC"/>
    <w:rsid w:val="4A1649E3"/>
    <w:rsid w:val="4A412ADC"/>
    <w:rsid w:val="4A596F36"/>
    <w:rsid w:val="4A66544C"/>
    <w:rsid w:val="4A9B5A20"/>
    <w:rsid w:val="4AA867B8"/>
    <w:rsid w:val="4B3F3E3F"/>
    <w:rsid w:val="4B4C6376"/>
    <w:rsid w:val="4B8F68D8"/>
    <w:rsid w:val="4B9A4F86"/>
    <w:rsid w:val="4BF36A73"/>
    <w:rsid w:val="4C3D00B7"/>
    <w:rsid w:val="4C681932"/>
    <w:rsid w:val="4C880816"/>
    <w:rsid w:val="4C97537F"/>
    <w:rsid w:val="4C9DBE18"/>
    <w:rsid w:val="4CF768EB"/>
    <w:rsid w:val="4D36558C"/>
    <w:rsid w:val="4D4C3002"/>
    <w:rsid w:val="4D6B7D84"/>
    <w:rsid w:val="4DF83532"/>
    <w:rsid w:val="4E662280"/>
    <w:rsid w:val="4E724CEA"/>
    <w:rsid w:val="4E993495"/>
    <w:rsid w:val="4EE2777A"/>
    <w:rsid w:val="4F28385B"/>
    <w:rsid w:val="4F5FD111"/>
    <w:rsid w:val="4F7DB555"/>
    <w:rsid w:val="4FB82BD0"/>
    <w:rsid w:val="4FDC066D"/>
    <w:rsid w:val="4FFA4F97"/>
    <w:rsid w:val="500D4CCA"/>
    <w:rsid w:val="506B19F1"/>
    <w:rsid w:val="50BA6DBE"/>
    <w:rsid w:val="50BE624D"/>
    <w:rsid w:val="5249616C"/>
    <w:rsid w:val="52E02222"/>
    <w:rsid w:val="53203BB4"/>
    <w:rsid w:val="53B13BBE"/>
    <w:rsid w:val="53FED8B5"/>
    <w:rsid w:val="541128AF"/>
    <w:rsid w:val="548A58AE"/>
    <w:rsid w:val="548C3D83"/>
    <w:rsid w:val="54A43723"/>
    <w:rsid w:val="54E171D9"/>
    <w:rsid w:val="550B5550"/>
    <w:rsid w:val="555830EB"/>
    <w:rsid w:val="557650C0"/>
    <w:rsid w:val="55806C15"/>
    <w:rsid w:val="55943798"/>
    <w:rsid w:val="55F907E4"/>
    <w:rsid w:val="562F153E"/>
    <w:rsid w:val="563D14B9"/>
    <w:rsid w:val="5666111B"/>
    <w:rsid w:val="56707D61"/>
    <w:rsid w:val="56793E90"/>
    <w:rsid w:val="56DE116E"/>
    <w:rsid w:val="57045582"/>
    <w:rsid w:val="5710766A"/>
    <w:rsid w:val="575E3470"/>
    <w:rsid w:val="5796AE50"/>
    <w:rsid w:val="57B74699"/>
    <w:rsid w:val="57C02FD8"/>
    <w:rsid w:val="57ED0501"/>
    <w:rsid w:val="57FB3CAD"/>
    <w:rsid w:val="583A0ADA"/>
    <w:rsid w:val="5855006D"/>
    <w:rsid w:val="586C27AA"/>
    <w:rsid w:val="58A40196"/>
    <w:rsid w:val="58B73A25"/>
    <w:rsid w:val="58E31E69"/>
    <w:rsid w:val="58F26C87"/>
    <w:rsid w:val="594C0218"/>
    <w:rsid w:val="5963088F"/>
    <w:rsid w:val="59E24D96"/>
    <w:rsid w:val="59EB74C4"/>
    <w:rsid w:val="5A17368D"/>
    <w:rsid w:val="5A7A2F5C"/>
    <w:rsid w:val="5AA5252E"/>
    <w:rsid w:val="5AD429F6"/>
    <w:rsid w:val="5ADBACC4"/>
    <w:rsid w:val="5B066A5B"/>
    <w:rsid w:val="5B092532"/>
    <w:rsid w:val="5B3E54D9"/>
    <w:rsid w:val="5B5CF850"/>
    <w:rsid w:val="5B665ACF"/>
    <w:rsid w:val="5BFFA34C"/>
    <w:rsid w:val="5CE40B61"/>
    <w:rsid w:val="5D013284"/>
    <w:rsid w:val="5D467A6D"/>
    <w:rsid w:val="5DCE34D6"/>
    <w:rsid w:val="5DDB6CF9"/>
    <w:rsid w:val="5E0843A0"/>
    <w:rsid w:val="5E3DE4C6"/>
    <w:rsid w:val="5EEF1351"/>
    <w:rsid w:val="5EEF1CDA"/>
    <w:rsid w:val="5EFCACE7"/>
    <w:rsid w:val="5F53C0AE"/>
    <w:rsid w:val="5F7B47B1"/>
    <w:rsid w:val="5F7DE9DF"/>
    <w:rsid w:val="5F9673D4"/>
    <w:rsid w:val="5FB70BF2"/>
    <w:rsid w:val="5FC15189"/>
    <w:rsid w:val="5FD78659"/>
    <w:rsid w:val="5FDC7EAA"/>
    <w:rsid w:val="5FDD3634"/>
    <w:rsid w:val="5FE377F5"/>
    <w:rsid w:val="5FEB334A"/>
    <w:rsid w:val="5FF52D97"/>
    <w:rsid w:val="5FFD1296"/>
    <w:rsid w:val="60017C7C"/>
    <w:rsid w:val="602E1D2E"/>
    <w:rsid w:val="611B3081"/>
    <w:rsid w:val="61655B26"/>
    <w:rsid w:val="61825512"/>
    <w:rsid w:val="62A80B41"/>
    <w:rsid w:val="63262291"/>
    <w:rsid w:val="63523AD4"/>
    <w:rsid w:val="637C5920"/>
    <w:rsid w:val="638B32B6"/>
    <w:rsid w:val="63B56A02"/>
    <w:rsid w:val="63D5767D"/>
    <w:rsid w:val="64300B2F"/>
    <w:rsid w:val="64D77029"/>
    <w:rsid w:val="64F024AA"/>
    <w:rsid w:val="64FA22CD"/>
    <w:rsid w:val="6529238F"/>
    <w:rsid w:val="654C3E3D"/>
    <w:rsid w:val="65906375"/>
    <w:rsid w:val="65AD2600"/>
    <w:rsid w:val="65E7E240"/>
    <w:rsid w:val="66252916"/>
    <w:rsid w:val="66F95AFD"/>
    <w:rsid w:val="673B46C1"/>
    <w:rsid w:val="67881D7C"/>
    <w:rsid w:val="67B7122A"/>
    <w:rsid w:val="67FF8C28"/>
    <w:rsid w:val="681C38A5"/>
    <w:rsid w:val="68441D23"/>
    <w:rsid w:val="68757459"/>
    <w:rsid w:val="689C6793"/>
    <w:rsid w:val="69225D54"/>
    <w:rsid w:val="69344C1E"/>
    <w:rsid w:val="695A138D"/>
    <w:rsid w:val="6985191D"/>
    <w:rsid w:val="69B064ED"/>
    <w:rsid w:val="6A7D38B9"/>
    <w:rsid w:val="6AAFB7EF"/>
    <w:rsid w:val="6BB737DD"/>
    <w:rsid w:val="6BF7C021"/>
    <w:rsid w:val="6BFACCF5"/>
    <w:rsid w:val="6BFE8B6E"/>
    <w:rsid w:val="6BFF0E07"/>
    <w:rsid w:val="6C1D37DE"/>
    <w:rsid w:val="6C9A2A13"/>
    <w:rsid w:val="6CBF0CA2"/>
    <w:rsid w:val="6CDF67D0"/>
    <w:rsid w:val="6CE6E104"/>
    <w:rsid w:val="6CF43042"/>
    <w:rsid w:val="6CF8E8E9"/>
    <w:rsid w:val="6CFE95A3"/>
    <w:rsid w:val="6D6F4C09"/>
    <w:rsid w:val="6D97577B"/>
    <w:rsid w:val="6E1D6E36"/>
    <w:rsid w:val="6E6C605B"/>
    <w:rsid w:val="6EDC27B1"/>
    <w:rsid w:val="6EFA4214"/>
    <w:rsid w:val="6F2A4AF9"/>
    <w:rsid w:val="6F64A575"/>
    <w:rsid w:val="6F9B59F7"/>
    <w:rsid w:val="6F9C4727"/>
    <w:rsid w:val="6FBD57A3"/>
    <w:rsid w:val="6FCF56A0"/>
    <w:rsid w:val="6FE4739E"/>
    <w:rsid w:val="702275C0"/>
    <w:rsid w:val="703379DD"/>
    <w:rsid w:val="7047463E"/>
    <w:rsid w:val="70C57DC2"/>
    <w:rsid w:val="718B3096"/>
    <w:rsid w:val="71C07997"/>
    <w:rsid w:val="71E24A8E"/>
    <w:rsid w:val="71F4080F"/>
    <w:rsid w:val="71FC5842"/>
    <w:rsid w:val="72005FE5"/>
    <w:rsid w:val="725E4ABA"/>
    <w:rsid w:val="72FD02C2"/>
    <w:rsid w:val="73B7B0AD"/>
    <w:rsid w:val="73E83BA2"/>
    <w:rsid w:val="741E403D"/>
    <w:rsid w:val="74407763"/>
    <w:rsid w:val="74751685"/>
    <w:rsid w:val="74AD48A3"/>
    <w:rsid w:val="753FE1F8"/>
    <w:rsid w:val="75531EA3"/>
    <w:rsid w:val="75671ED7"/>
    <w:rsid w:val="76181896"/>
    <w:rsid w:val="765A0384"/>
    <w:rsid w:val="767B22AB"/>
    <w:rsid w:val="76845A85"/>
    <w:rsid w:val="769D2054"/>
    <w:rsid w:val="769F78FF"/>
    <w:rsid w:val="76DB4166"/>
    <w:rsid w:val="76DE98DB"/>
    <w:rsid w:val="77145279"/>
    <w:rsid w:val="772E145A"/>
    <w:rsid w:val="77882D05"/>
    <w:rsid w:val="779E6285"/>
    <w:rsid w:val="77E15F71"/>
    <w:rsid w:val="77FB6481"/>
    <w:rsid w:val="78E75809"/>
    <w:rsid w:val="7989051E"/>
    <w:rsid w:val="79A47660"/>
    <w:rsid w:val="79C842E0"/>
    <w:rsid w:val="79DB064D"/>
    <w:rsid w:val="79DBB07D"/>
    <w:rsid w:val="7A97500D"/>
    <w:rsid w:val="7AAD4830"/>
    <w:rsid w:val="7AE91D0C"/>
    <w:rsid w:val="7B7C4ABE"/>
    <w:rsid w:val="7B842937"/>
    <w:rsid w:val="7BB213FD"/>
    <w:rsid w:val="7BB80E37"/>
    <w:rsid w:val="7BBFFA0F"/>
    <w:rsid w:val="7C395B0D"/>
    <w:rsid w:val="7C3CB6DC"/>
    <w:rsid w:val="7C7A5C19"/>
    <w:rsid w:val="7CCB222D"/>
    <w:rsid w:val="7CE69319"/>
    <w:rsid w:val="7CFB5D27"/>
    <w:rsid w:val="7D3E0C97"/>
    <w:rsid w:val="7D425704"/>
    <w:rsid w:val="7D6D6BA3"/>
    <w:rsid w:val="7D6FC04C"/>
    <w:rsid w:val="7DBD8C89"/>
    <w:rsid w:val="7DEDB5A1"/>
    <w:rsid w:val="7DFC7FDB"/>
    <w:rsid w:val="7DFF123C"/>
    <w:rsid w:val="7E1B283D"/>
    <w:rsid w:val="7E442139"/>
    <w:rsid w:val="7ED6271B"/>
    <w:rsid w:val="7EE404F6"/>
    <w:rsid w:val="7EE59CE2"/>
    <w:rsid w:val="7EEDD971"/>
    <w:rsid w:val="7EF351B4"/>
    <w:rsid w:val="7EF77A5A"/>
    <w:rsid w:val="7F2B605D"/>
    <w:rsid w:val="7F385E37"/>
    <w:rsid w:val="7F3D8783"/>
    <w:rsid w:val="7F82381F"/>
    <w:rsid w:val="7F8F65C1"/>
    <w:rsid w:val="7FAB8372"/>
    <w:rsid w:val="7FBDBCD4"/>
    <w:rsid w:val="7FBFAD4E"/>
    <w:rsid w:val="7FC137AD"/>
    <w:rsid w:val="7FC66CD0"/>
    <w:rsid w:val="7FDF47C0"/>
    <w:rsid w:val="7FF60144"/>
    <w:rsid w:val="7FFA363E"/>
    <w:rsid w:val="7FFF32A7"/>
    <w:rsid w:val="7FFF58D6"/>
    <w:rsid w:val="8DFBA4A6"/>
    <w:rsid w:val="8FBE9CB2"/>
    <w:rsid w:val="8FFB0D0B"/>
    <w:rsid w:val="923D202F"/>
    <w:rsid w:val="97BFDFDC"/>
    <w:rsid w:val="9EE9C250"/>
    <w:rsid w:val="9FDB1240"/>
    <w:rsid w:val="9FF74DAC"/>
    <w:rsid w:val="AF2FAF1C"/>
    <w:rsid w:val="AFCBD77A"/>
    <w:rsid w:val="B5FFEE34"/>
    <w:rsid w:val="B6D7B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9" w:qFormat="1"/>
    <w:lsdException w:name="header" w:qFormat="1"/>
    <w:lsdException w:name="footer" w:qFormat="1"/>
    <w:lsdException w:name="caption" w:uiPriority="99" w:unhideWhenUsed="1" w:qFormat="1"/>
    <w:lsdException w:name="table of authorities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uiPriority="99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FC0A1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autoRedefine/>
    <w:qFormat/>
    <w:rsid w:val="00FC0A19"/>
    <w:pPr>
      <w:ind w:leftChars="200" w:left="420"/>
      <w:jc w:val="center"/>
    </w:pPr>
    <w:rPr>
      <w:rFonts w:eastAsia="方正小标宋简体"/>
      <w:sz w:val="44"/>
    </w:rPr>
  </w:style>
  <w:style w:type="paragraph" w:styleId="a4">
    <w:name w:val="caption"/>
    <w:basedOn w:val="a"/>
    <w:next w:val="a"/>
    <w:uiPriority w:val="99"/>
    <w:unhideWhenUsed/>
    <w:qFormat/>
    <w:rsid w:val="00FC0A19"/>
    <w:rPr>
      <w:rFonts w:asciiTheme="majorHAnsi" w:eastAsia="黑体" w:hAnsiTheme="majorHAnsi" w:cstheme="majorBidi"/>
      <w:sz w:val="20"/>
      <w:szCs w:val="20"/>
    </w:rPr>
  </w:style>
  <w:style w:type="paragraph" w:styleId="a5">
    <w:name w:val="Body Text"/>
    <w:basedOn w:val="a"/>
    <w:next w:val="p0"/>
    <w:qFormat/>
    <w:rsid w:val="00FC0A19"/>
  </w:style>
  <w:style w:type="paragraph" w:customStyle="1" w:styleId="p0">
    <w:name w:val="p0"/>
    <w:basedOn w:val="a"/>
    <w:next w:val="9"/>
    <w:autoRedefine/>
    <w:qFormat/>
    <w:rsid w:val="00FC0A19"/>
    <w:pPr>
      <w:widowControl/>
    </w:pPr>
    <w:rPr>
      <w:kern w:val="0"/>
      <w:szCs w:val="21"/>
    </w:rPr>
  </w:style>
  <w:style w:type="paragraph" w:styleId="9">
    <w:name w:val="index 9"/>
    <w:basedOn w:val="a"/>
    <w:next w:val="a"/>
    <w:autoRedefine/>
    <w:qFormat/>
    <w:rsid w:val="00FC0A19"/>
    <w:pPr>
      <w:ind w:left="3360"/>
    </w:pPr>
  </w:style>
  <w:style w:type="paragraph" w:styleId="a6">
    <w:name w:val="Body Text Indent"/>
    <w:basedOn w:val="a"/>
    <w:uiPriority w:val="99"/>
    <w:qFormat/>
    <w:rsid w:val="00FC0A19"/>
    <w:pPr>
      <w:ind w:leftChars="200" w:left="420"/>
    </w:pPr>
  </w:style>
  <w:style w:type="paragraph" w:styleId="a7">
    <w:name w:val="footer"/>
    <w:basedOn w:val="a"/>
    <w:autoRedefine/>
    <w:qFormat/>
    <w:rsid w:val="00FC0A1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"/>
    <w:autoRedefine/>
    <w:qFormat/>
    <w:rsid w:val="00FC0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rsid w:val="00FC0A19"/>
    <w:pPr>
      <w:spacing w:beforeAutospacing="1" w:afterAutospacing="1"/>
      <w:jc w:val="left"/>
    </w:pPr>
    <w:rPr>
      <w:kern w:val="0"/>
      <w:sz w:val="24"/>
    </w:rPr>
  </w:style>
  <w:style w:type="paragraph" w:styleId="2">
    <w:name w:val="Body Text First Indent 2"/>
    <w:basedOn w:val="a6"/>
    <w:autoRedefine/>
    <w:uiPriority w:val="99"/>
    <w:unhideWhenUsed/>
    <w:qFormat/>
    <w:rsid w:val="00FC0A19"/>
    <w:pPr>
      <w:ind w:firstLineChars="200" w:firstLine="420"/>
    </w:pPr>
  </w:style>
  <w:style w:type="character" w:styleId="aa">
    <w:name w:val="Strong"/>
    <w:basedOn w:val="a0"/>
    <w:autoRedefine/>
    <w:qFormat/>
    <w:rsid w:val="00FC0A19"/>
    <w:rPr>
      <w:b/>
    </w:rPr>
  </w:style>
  <w:style w:type="character" w:styleId="ab">
    <w:name w:val="Hyperlink"/>
    <w:basedOn w:val="a0"/>
    <w:qFormat/>
    <w:rsid w:val="00FC0A19"/>
    <w:rPr>
      <w:color w:val="0563C1" w:themeColor="hyperlink"/>
      <w:u w:val="single"/>
    </w:rPr>
  </w:style>
  <w:style w:type="paragraph" w:customStyle="1" w:styleId="Default">
    <w:name w:val="Default"/>
    <w:qFormat/>
    <w:rsid w:val="00FC0A19"/>
    <w:pPr>
      <w:widowControl w:val="0"/>
      <w:autoSpaceDE w:val="0"/>
      <w:autoSpaceDN w:val="0"/>
    </w:pPr>
    <w:rPr>
      <w:rFonts w:ascii="仿宋_GB2312" w:eastAsia="仿宋_GB2312" w:hAnsi="仿宋_GB2312" w:hint="eastAsia"/>
      <w:color w:val="000000"/>
      <w:sz w:val="24"/>
      <w:szCs w:val="22"/>
    </w:rPr>
  </w:style>
  <w:style w:type="paragraph" w:customStyle="1" w:styleId="1">
    <w:name w:val="样式1"/>
    <w:basedOn w:val="a"/>
    <w:qFormat/>
    <w:rsid w:val="00FC0A19"/>
    <w:rPr>
      <w:sz w:val="18"/>
    </w:rPr>
  </w:style>
  <w:style w:type="paragraph" w:customStyle="1" w:styleId="3">
    <w:name w:val="样式3"/>
    <w:basedOn w:val="a"/>
    <w:qFormat/>
    <w:rsid w:val="00FC0A19"/>
    <w:rPr>
      <w:sz w:val="15"/>
    </w:rPr>
  </w:style>
  <w:style w:type="paragraph" w:customStyle="1" w:styleId="21">
    <w:name w:val="正文首行缩进 21"/>
    <w:basedOn w:val="10"/>
    <w:next w:val="a"/>
    <w:qFormat/>
    <w:rsid w:val="00FC0A19"/>
    <w:pPr>
      <w:spacing w:after="120"/>
      <w:ind w:firstLineChars="200" w:firstLine="420"/>
    </w:pPr>
  </w:style>
  <w:style w:type="paragraph" w:customStyle="1" w:styleId="10">
    <w:name w:val="正文文本缩进1"/>
    <w:basedOn w:val="a"/>
    <w:qFormat/>
    <w:rsid w:val="00FC0A19"/>
    <w:pPr>
      <w:ind w:leftChars="200" w:left="420"/>
    </w:pPr>
  </w:style>
  <w:style w:type="paragraph" w:customStyle="1" w:styleId="Heading5">
    <w:name w:val="Heading5"/>
    <w:basedOn w:val="a"/>
    <w:next w:val="a"/>
    <w:qFormat/>
    <w:rsid w:val="00FC0A19"/>
    <w:pPr>
      <w:keepNext/>
      <w:keepLines/>
      <w:spacing w:before="280" w:after="290" w:line="376" w:lineRule="auto"/>
      <w:textAlignment w:val="baseline"/>
    </w:pPr>
    <w:rPr>
      <w:b/>
      <w:bCs/>
      <w:sz w:val="28"/>
      <w:szCs w:val="28"/>
    </w:rPr>
  </w:style>
  <w:style w:type="paragraph" w:customStyle="1" w:styleId="NormalIndent">
    <w:name w:val="NormalIndent"/>
    <w:basedOn w:val="a"/>
    <w:qFormat/>
    <w:rsid w:val="00FC0A19"/>
    <w:pPr>
      <w:ind w:firstLineChars="200" w:firstLine="420"/>
    </w:pPr>
  </w:style>
  <w:style w:type="character" w:customStyle="1" w:styleId="NormalCharacter">
    <w:name w:val="NormalCharacter"/>
    <w:link w:val="UserStyle5"/>
    <w:qFormat/>
    <w:rsid w:val="00FC0A19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UserStyle5">
    <w:name w:val="UserStyle_5"/>
    <w:basedOn w:val="a"/>
    <w:link w:val="NormalCharacter"/>
    <w:qFormat/>
    <w:rsid w:val="00FC0A19"/>
    <w:pPr>
      <w:spacing w:line="360" w:lineRule="auto"/>
    </w:pPr>
  </w:style>
  <w:style w:type="paragraph" w:customStyle="1" w:styleId="BodyText1I2">
    <w:name w:val="BodyText1I2"/>
    <w:basedOn w:val="BodyTextIndent"/>
    <w:autoRedefine/>
    <w:qFormat/>
    <w:rsid w:val="00FC0A19"/>
    <w:pPr>
      <w:ind w:firstLineChars="200" w:firstLine="420"/>
    </w:pPr>
  </w:style>
  <w:style w:type="paragraph" w:customStyle="1" w:styleId="BodyTextIndent">
    <w:name w:val="BodyTextIndent"/>
    <w:basedOn w:val="a"/>
    <w:autoRedefine/>
    <w:qFormat/>
    <w:rsid w:val="00FC0A19"/>
    <w:pPr>
      <w:spacing w:after="120"/>
      <w:ind w:leftChars="200" w:left="420"/>
    </w:pPr>
    <w:rPr>
      <w:rFonts w:ascii="Calibri" w:hAnsi="Calibri"/>
    </w:rPr>
  </w:style>
  <w:style w:type="paragraph" w:customStyle="1" w:styleId="11">
    <w:name w:val="列出段落1"/>
    <w:basedOn w:val="a"/>
    <w:uiPriority w:val="34"/>
    <w:qFormat/>
    <w:rsid w:val="00FC0A19"/>
    <w:pPr>
      <w:ind w:firstLineChars="200" w:firstLine="420"/>
    </w:pPr>
  </w:style>
  <w:style w:type="paragraph" w:customStyle="1" w:styleId="ac">
    <w:name w:val="签发人"/>
    <w:basedOn w:val="a"/>
    <w:qFormat/>
    <w:rsid w:val="00FC0A19"/>
    <w:rPr>
      <w:rFonts w:eastAsia="楷体"/>
      <w:sz w:val="32"/>
    </w:rPr>
  </w:style>
  <w:style w:type="character" w:customStyle="1" w:styleId="Char">
    <w:name w:val="页眉 Char"/>
    <w:basedOn w:val="a0"/>
    <w:link w:val="a8"/>
    <w:qFormat/>
    <w:rsid w:val="00FC0A19"/>
    <w:rPr>
      <w:kern w:val="2"/>
      <w:sz w:val="18"/>
      <w:szCs w:val="18"/>
    </w:rPr>
  </w:style>
  <w:style w:type="paragraph" w:styleId="ad">
    <w:name w:val="List Paragraph"/>
    <w:basedOn w:val="a"/>
    <w:autoRedefine/>
    <w:uiPriority w:val="99"/>
    <w:unhideWhenUsed/>
    <w:qFormat/>
    <w:rsid w:val="00FC0A1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2048</Words>
  <Characters>11678</Characters>
  <Application>Microsoft Office Word</Application>
  <DocSecurity>0</DocSecurity>
  <Lines>97</Lines>
  <Paragraphs>27</Paragraphs>
  <ScaleCrop>false</ScaleCrop>
  <Company>China</Company>
  <LinksUpToDate>false</LinksUpToDate>
  <CharactersWithSpaces>13699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fgj</dc:creator>
  <cp:lastModifiedBy>Administrator</cp:lastModifiedBy>
  <cp:revision>86</cp:revision>
  <cp:lastPrinted>2024-03-15T08:43:00Z</cp:lastPrinted>
  <dcterms:created xsi:type="dcterms:W3CDTF">2014-11-03T20:08:00Z</dcterms:created>
  <dcterms:modified xsi:type="dcterms:W3CDTF">2024-04-07T00:18:00Z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41351BE11F42AF7213E8DF659B9614CC</vt:lpwstr>
  </property>
</Properties>
</file>